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Commercial Governance and Operational Controls Guide</w:t>
      </w:r>
    </w:p>
    <w:p/>
    <w:p>
      <w:pPr>
        <w:pStyle w:val="Heading2"/>
      </w:pPr>
      <w:r>
        <w:t>Introduction</w:t>
      </w:r>
    </w:p>
    <w:p/>
    <w:p>
      <w:r>
        <w:t>This document provides governance guidelines and operational controls for HelioFreight Logistics to support consistent execution across warehousing and freight services. It outlines key oversight practices, supporting procedures, and cross-functional responsibilities used in large-scale 3PL operations. These standards help ensure accountability, transparency, and service continuity across North American sites. The guidance applies to all applicable corporate, regional, and site leadership teams.</w:t>
      </w:r>
    </w:p>
    <w:p/>
    <w:p>
      <w:pPr>
        <w:pStyle w:val="Heading2"/>
      </w:pPr>
      <w:r>
        <w:t>Customer Onboarding Governance Standards</w:t>
      </w:r>
    </w:p>
    <w:p/>
    <w:p>
      <w:r>
        <w:t>As part of customer onboarding governance at HelioFreight Logistics, Compliance performs routine DOT and safety audits across terminals and carrier management before new freight is tendered. The audit includes reviewing driver and partner-carrier documentation (insurance certificates, DOT authority status, and safety ratings), validating facility safety logs (incident reports, forklift inspections, and PPE compliance), and confirming training completion records for applicable roles. Auditors also walk the dock and yard to verify required signage, spill kits, fire exits, and trailer chocking procedures are in place and consistently followed. Findings are recorded, remediation tasks are assigned to accountable owners with target dates, and final results are filed in the compliance repository; any critical safety issue triggers an immediate operational stop and escalation to EHS, and any carrier authority or insurance non-compliance results in tendering suspension until updated documentation is received.</w:t>
      </w:r>
    </w:p>
    <w:p/>
    <w:p>
      <w:pPr>
        <w:pStyle w:val="Heading2"/>
      </w:pPr>
      <w:r>
        <w:t>Conclusion</w:t>
      </w:r>
    </w:p>
    <w:p/>
    <w:p>
      <w:r>
        <w:t>Consistent adherence to these guidelines strengthens operational reliability and reduces variability across regions and facilities. Clear governance and well-defined controls enable faster decision-making and improved cross-functional coordination. Maintaining compliance readiness protects HelioFreight and its customers while supporting scalable growth. Leaders should periodically review these standards to ensure they remain aligned with evolving business needs.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