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Commercial Governance Operating Guidelines</w:t>
      </w:r>
    </w:p>
    <w:p/>
    <w:p>
      <w:pPr>
        <w:pStyle w:val="Heading2"/>
      </w:pPr>
      <w:r>
        <w:t>Introduction</w:t>
      </w:r>
    </w:p>
    <w:p/>
    <w:p>
      <w:r>
        <w:t>This manual establishes consistent governance and operating practices for commercial activities across HelioFreight Logistics. It aligns internal stakeholders to ensure risk controls, service commitments, and financial outcomes are managed consistently at scale. The guidance applies to all North American warehousing and freight service lines supporting B2B shipper agreements. Roles, standards, and decision forums are defined to support efficient execution and audit-ready documentation.</w:t>
      </w:r>
    </w:p>
    <w:p/>
    <w:p>
      <w:pPr>
        <w:pStyle w:val="Heading2"/>
      </w:pPr>
      <w:r>
        <w:t>Revenue Assurance and Margin Controls</w:t>
      </w:r>
    </w:p>
    <w:p/>
    <w:p>
      <w:r>
        <w:t>To protect contribution margin at HelioFreight sites, the Maintenance Lead reviews maintenance logs for forklifts, pallet jacks, conveyors, and dock doors weekly, then schedules preventative maintenance with approved vendors and internal technicians. Equipment utilization and downtime are tracked to quantify lost handling capacity, prioritize repairs by operational impact, and coordinate repair windows around inbound waves and outbound cutoffs to minimize disruption. When critical failures threaten outbound cutoffs, supervisors reroute labor to manual processes or shift work to alternate zones until the asset is restored. Asset records are updated with service dates, parts used, and costs, and post-repair safety checks are documented before returning equipment to service; if repair estimates exceed the capex threshold, a replacement request is initiated and routed for approval.</w:t>
      </w:r>
    </w:p>
    <w:p/>
    <w:p>
      <w:pPr>
        <w:pStyle w:val="Heading2"/>
      </w:pPr>
      <w:r>
        <w:t>Conclusion</w:t>
      </w:r>
    </w:p>
    <w:p/>
    <w:p>
      <w:r>
        <w:t>Adhering to these guidelines ensures HelioFreight maintains consistent commercial discipline while meeting customer expectations. Standardized governance reduces operational risk, improves traceability, and supports timely decision-making. Clear accountability and documentation enable smoother cross-functional coordination across regions and service lines. Routine use of these practices strengthens compliance posture and protects long-term profitability.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