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Contract Change Management Guidelines</w:t>
      </w:r>
    </w:p>
    <w:p/>
    <w:p>
      <w:pPr>
        <w:pStyle w:val="Heading2"/>
      </w:pPr>
      <w:r>
        <w:t>Introduction</w:t>
      </w:r>
    </w:p>
    <w:p/>
    <w:p>
      <w:r>
        <w:t>This document establishes governance and operating standards for managing contract changes at HelioFreight Logistics. It aligns Legal, Sales, Procurement, and Operations on roles, controls, and documentation needed to support consistent commercial execution. The guidelines are designed for high-volume B2B logistics agreements where timing and risk discipline directly impact revenue and service performance. Adoption of these standards improves cycle time, auditability, and stakeholder accountability.</w:t>
      </w:r>
    </w:p>
    <w:p/>
    <w:p>
      <w:pPr>
        <w:pStyle w:val="Heading2"/>
      </w:pPr>
      <w:r>
        <w:t>Contracting Roles and Decision Rights</w:t>
      </w:r>
    </w:p>
    <w:p/>
    <w:p>
      <w:r>
        <w:t>At HelioFreight, rapid approval of contract redlines depends on clear role ownership and correct document baselining from the outset. The Contract Manager is responsible for first confirming whether the deal is on Standard Paper or Customer Paper, since that determination governs which approved template (or Legal-designated starting form) becomes the baseline for review. Once the baseline is confirmed, the Contract Manager uploads the counterparty’s latest redlined draft to the CLM record and initiates the compare function against the selected baseline. The CLM system produces a clause-level delta report that is retained with the record and becomes the authoritative summary of all changes for downstream routing. Legal reviewers use that delta report to map deviations to the applicable playbook positions and to identify which edits require Legal sign-off versus business owner acceptance. Business stakeholders (e.g., Operations and Finance) may approve within pre-approved thresholds, while Legal retains decision rights for non-standard terms, elevated risk allocations, or any edits outside playbook guidance.</w:t>
      </w:r>
    </w:p>
    <w:p/>
    <w:p>
      <w:pPr>
        <w:pStyle w:val="Heading2"/>
      </w:pPr>
      <w:r>
        <w:t>Conclusion</w:t>
      </w:r>
    </w:p>
    <w:p/>
    <w:p>
      <w:r>
        <w:t>Consistent application of these guidelines enables HelioFreight to manage contractual changes with speed, clarity, and appropriate risk oversight. Clear decision rights and standardized inputs reduce rework and avoid avoidable approval delays. Defined escalation criteria ensure material legal and operational exposures are reviewed at the correct level. Following these standards supports faster deal execution while protecting service commitments and margin targets.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