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Contract Change Governance and Review Guide</w:t>
      </w:r>
    </w:p>
    <w:p/>
    <w:p>
      <w:pPr>
        <w:pStyle w:val="Heading2"/>
      </w:pPr>
      <w:r>
        <w:t>Introduction</w:t>
      </w:r>
    </w:p>
    <w:p/>
    <w:p>
      <w:r>
        <w:t>This document outlines governance and operational practices that support efficient contract change management at HelioFreight Logistics. It defines roles, standards, and controls that reduce cycle time while maintaining compliance and commercial protections. The guidance applies to customer, carrier, and vendor agreements used across warehousing and freight services. Teams should use this manual to align Legal, Sales, Operations, and Finance workflows during contract updates.</w:t>
      </w:r>
    </w:p>
    <w:p/>
    <w:p>
      <w:pPr>
        <w:pStyle w:val="Heading2"/>
      </w:pPr>
      <w:r>
        <w:t>Redline Triage and Approval Workflow</w:t>
      </w:r>
    </w:p>
    <w:p/>
    <w:p>
      <w:r>
        <w:t>To accelerate approval of contract redlines, HelioFreight requires the counterparty markup to be uploaded to the CLM and processed through the compare function to generate a clause-by-clause delta report before any review begins. Contract Operations then reviews the deltas and assigns each change to the appropriate clause playbook tag so every modified provision is categorized and tracked consistently. The mapped tags are used to determine the review path: if any change aligns to a high-risk (“Red”) category—such as liability caps, indemnity breadth, audit rights, IP ownership, data security requirements, or auto-renewal/termination constraints—the workflow is routed into the Legal Review queue for counsel-led negotiation. When all deltas fall within “Green” or “Yellow” parameters, the negotiator applies the playbook’s pre-approved fallback language and routes the package to the business owner for confirmation rather than engaging Legal as the primary counterparty interface. This triage model standardizes escalation decisions, reduces cycle time for routine freight and warehousing agreements, and preserves Legal capacity for issues with material financial, operational, or compliance exposure.</w:t>
      </w:r>
    </w:p>
    <w:p/>
    <w:p>
      <w:pPr>
        <w:pStyle w:val="Heading2"/>
      </w:pPr>
      <w:r>
        <w:t>Conclusion</w:t>
      </w:r>
    </w:p>
    <w:p/>
    <w:p>
      <w:r>
        <w:t>Consistent contract review practices protect HelioFreight’s margins, service commitments, and regulatory obligations. Clear standards and defined ownership reduce rework and prevent delays that impact customer onboarding and renewals. Adhering to these guidelines improves collaboration across Legal and commercial teams and supports faster decision-making. Periodic review of these practices ensures the process remains aligned with business and risk priorities.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