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Contract Review and Governance Standards</w:t>
      </w:r>
    </w:p>
    <w:p/>
    <w:p>
      <w:pPr>
        <w:pStyle w:val="Heading2"/>
      </w:pPr>
      <w:r>
        <w:t>Introduction</w:t>
      </w:r>
    </w:p>
    <w:p/>
    <w:p>
      <w:r>
        <w:t>This document establishes governance and operating standards for managing customer and vendor agreements at HelioFreight Logistics. It aligns contract handling practices across warehousing, freight, and corporate functions to reduce cycle time and commercial risk. The guidelines define roles, required approvals, and documentation expectations to ensure consistency across regions and business units. These standards support reliable onboarding, service execution, and dispute prevention.</w:t>
      </w:r>
    </w:p>
    <w:p/>
    <w:p>
      <w:pPr>
        <w:pStyle w:val="Heading2"/>
      </w:pPr>
      <w:r>
        <w:t>Contract Risk Assessment Framework</w:t>
      </w:r>
    </w:p>
    <w:p/>
    <w:p>
      <w:r>
        <w:t>HelioFreight’s contract risk assessment begins by tagging every deviation from the playbook (commercial, operational, liability, service-level, and data/security) and determining whether the matter requires formal Legal Review or can proceed using approved fallback language. Once that classification is complete, the contract owner validates Deal Intake data in the CLM, including the annualized revenue estimate and scope elements that materially change execution risk, such as a dedicated warehouse buildout or a new facility launch. The CLM then assigns the appropriate approval tier so routing aligns with policy and redlines move to the right operations lane without manual rework. Transactions exceeding $5M in annualized revenue, or any deal that introduces a dedicated buildout/new launch, must be escalated to a VP Operations approver to confirm capacity, startup readiness, and cost-to-serve assumptions. All other agreements follow the standard director-level operations approval path to preserve speed while maintaining governance. The tier selection is saved as part of the intake record to ensure subsequent workflow steps automatically include the correct approvers and prevent delays caused by misrouted approvals.</w:t>
      </w:r>
    </w:p>
    <w:p/>
    <w:p>
      <w:pPr>
        <w:pStyle w:val="Heading2"/>
      </w:pPr>
      <w:r>
        <w:t>Conclusion</w:t>
      </w:r>
    </w:p>
    <w:p/>
    <w:p>
      <w:r>
        <w:t>Consistent contract governance protects HelioFreight’s commercial position while supporting faster customer and carrier onboarding. Following these guidelines ensures redlines are evaluated against approved risk tolerances and routed to the right decision-makers. Standard documentation and recordkeeping improve auditability and reduce the likelihood of downstream disputes. Adherence to this manual is required for all personnel involved in negotiating, reviewing, or approving agreements.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