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Contract Review and Redline Governance Guide</w:t>
      </w:r>
    </w:p>
    <w:p/>
    <w:p>
      <w:pPr>
        <w:pStyle w:val="Heading2"/>
      </w:pPr>
      <w:r>
        <w:t>Introduction</w:t>
      </w:r>
    </w:p>
    <w:p/>
    <w:p>
      <w:r>
        <w:t>This document outlines HelioFreight’s internal governance for managing commercial contract changes with customers, carriers, and strategic vendors. It establishes consistent roles, controls, and documentation standards to reduce cycle time while protecting commercial and operational interests. The guidance applies to North America warehousing, freight, and related service agreements executed by business units and shared services. Adherence supports predictable deal execution and audit-ready contracting practices.</w:t>
      </w:r>
    </w:p>
    <w:p/>
    <w:p>
      <w:pPr>
        <w:pStyle w:val="Heading2"/>
      </w:pPr>
      <w:r>
        <w:t>Contract Intake and Classification Standards</w:t>
      </w:r>
    </w:p>
    <w:p/>
    <w:p>
      <w:r>
        <w:t>All contract requests must be opened through the Deal Intake and classified in the CLM with an accompanying RSS-14 record to ensure the correct review path is triggered. Before sending any redlines for commercial approval, the requester must evaluate special-review triggers (e.g., elevated data handling, non-standard risk allocation) and, when applicable, add Risk, InfoSec, and Privacy reviewers and the required addendum set in the CLM to avoid downstream rework. Once classification is confirmed, the Deal Intake and the RSS-14 commercial fields are routed to Finance for a targeted review limited to billing-policy alignment, including payment terms, credits and service penalties, price escalation or adjustment mechanisms, and taxes and surcharges. Finance’s confirmation is captured as an approval note or task completion in the CLM, creating an auditable checkpoint that allows Legal to progress redlines without waiting on broader operational sign-off. Any Finance-identified corrections must be reflected back into the draft agreement and/or updated in RSS-14 to keep the contract and billing setup synchronized before the deal advances to final approval.</w:t>
      </w:r>
    </w:p>
    <w:p/>
    <w:p>
      <w:pPr>
        <w:pStyle w:val="Heading2"/>
      </w:pPr>
      <w:r>
        <w:t>Conclusion</w:t>
      </w:r>
    </w:p>
    <w:p/>
    <w:p>
      <w:r>
        <w:t>Consistent contract governance ensures HelioFreight closes deals efficiently without compromising risk posture or service commitments. Following these guidelines improves cross-functional coordination, reduces rework, and increases decision transparency. Documented approvals and standardized routing support compliance obligations and strengthen customer and partner trust. Leaders are responsible for reinforcing these practices and monitoring adherence across their teams.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