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Workforce Enablement Update for Operations Leaders</w:t>
      </w:r>
    </w:p>
    <w:p/>
    <w:p>
      <w:pPr>
        <w:pStyle w:val="Heading2"/>
      </w:pPr>
      <w:r>
        <w:t>Introduction</w:t>
      </w:r>
    </w:p>
    <w:p/>
    <w:p>
      <w:r>
        <w:t>This update provides operations and department leaders with a consolidated view of current workforce enablement items affecting terminal, warehouse, and corporate teams. The intent is to support consistent execution across locations while minimizing service disruption during peak shipping cycles. Information is compiled from HR, Safety, and site leadership check-ins to highlight timing, ownership, and dependencies. Please review for impacts to scheduling, labor planning, and manager actions.</w:t>
      </w:r>
    </w:p>
    <w:p/>
    <w:p>
      <w:pPr>
        <w:pStyle w:val="Heading2"/>
      </w:pPr>
      <w:r>
        <w:t>Headcount Planning and Labor Outlook</w:t>
      </w:r>
    </w:p>
    <w:p/>
    <w:p>
      <w:r>
        <w:t>For FY2026 budgeting, Operations Finance and HR Analytics are using a 3-scenario labor model based on 2024–2025 peak-volume variance of 12% across the Midwest and Southwest regions. Attrition averaged 18.7% in warehousing roles in Q4 2025, with the highest churn in night-shift selectors at the Dallas and Joliet sites. The current planning assumption holds exempt headcount flat while authorizing up to 160 seasonal associates for the October–December 2026 surge, contingent on customer onboarding forecasts. Labor market inputs are being refreshed using Bureau of Labor Statistics metro data updated on 2026-02-15 and agency fill-rate benchmarks from five staffing partners.</w:t>
      </w:r>
    </w:p>
    <w:p/>
    <w:p>
      <w:pPr>
        <w:pStyle w:val="Heading2"/>
      </w:pPr>
      <w:r>
        <w:t>Manager Enablement and Change Readiness</w:t>
      </w:r>
    </w:p>
    <w:p/>
    <w:p>
      <w:r>
        <w:t>Manager enablement remains focused on adoption of the new WMS release (v8.3) scheduled for phased deployment beginning 2026-05-06 in two pilot facilities. In Q1 2026, 742 people leaders completed the “Safety Leadership Essentials” module, improving completion rates from 64% to 91% and reducing repeat incident coaching by 9%. Change readiness was gauged via a pulse survey run 2026-01-22 to 2026-01-29, where the most common barrier cited was “time to train teams” (38%). A standard communication pack with weekly huddle scripts and FAQ updates is distributed through Ops Comms to limit local variation during rollout.</w:t>
      </w:r>
    </w:p>
    <w:p/>
    <w:p>
      <w:pPr>
        <w:pStyle w:val="Heading2"/>
      </w:pPr>
      <w:r>
        <w:t>Policy, Compliance, and Risk Controls</w:t>
      </w:r>
    </w:p>
    <w:p/>
    <w:p>
      <w:r>
        <w:t>Compliance efforts emphasize audit preparedness for DOT and OSHA, with 14 site-level inspections completed in 2025 and an average closure time of 21 days for corrective actions. The I-9 reverification process was standardized on 2026-03-01 with a dual-approval checklist, reducing document exceptions from 6.2% to 3.5% in internal sampling. Data privacy controls were reinforced by requiring annual security awareness attestation by 2026-04-30, covering 4,380 active users in the TMS and HRIS environments. Incident reporting governance now includes a monthly risk dashboard showing near-miss rates per 200,000 labor hours, reviewed by Safety and Legal for trend escalation thresholds.</w:t>
      </w:r>
    </w:p>
    <w:p/>
    <w:p>
      <w:pPr>
        <w:pStyle w:val="Heading2"/>
      </w:pPr>
      <w:r>
        <w:t>Conclusion</w:t>
      </w:r>
    </w:p>
    <w:p/>
    <w:p>
      <w:r>
        <w:t>Leaders should align staffing plans with near-term operational demand and confirm manager readiness for upcoming workforce changes. Any policy or compliance items requiring local action should be prioritized to avoid audit and safety exposure. Department owners are asked to validate dates, participant lists, and coverage plans for affected teams. HR will follow up with a consolidated action log and escalation path for items that risk service levels.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