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Faculty Appointment Administration Guidelines</w:t>
      </w:r>
    </w:p>
    <w:p/>
    <w:p>
      <w:pPr>
        <w:pStyle w:val="Heading2"/>
      </w:pPr>
      <w:r>
        <w:t>Introduction</w:t>
      </w:r>
    </w:p>
    <w:p/>
    <w:p>
      <w:r>
        <w:t>This document provides internal guidance for coordinating administrative services associated with faculty appointments across Eastport University’s colleges and central offices. It establishes common expectations for compliance, operational readiness, and stakeholder communication to support consistent service delivery. The guidance is intended for academic units, HR partners, research administration, and shared service teams. Procedures should be applied in alignment with applicable policies, collective agreements, and regulatory requirements.</w:t>
      </w:r>
    </w:p>
    <w:p/>
    <w:p>
      <w:pPr>
        <w:pStyle w:val="Heading2"/>
      </w:pPr>
      <w:r>
        <w:t>Compliance and Employment Documentation</w:t>
      </w:r>
    </w:p>
    <w:p/>
    <w:p>
      <w:r>
        <w:t>To maintain consumer-information and accreditation compliance, Eastport University performs an annual academic catalog revision cycle with documented approvals and audit trails. The Office of Academic Affairs collects curriculum updates from each college, including new or retired courses, prerequisite changes, and edits to program requirements, and routes each change through the curriculum management system for required committee and administrative approvals. Once approvals are finalized, the catalog team updates the public catalog website and the corresponding PDF versions, validating links, course descriptions, and total credit-hour calculations for every affected program. Final publication is scheduled against a fixed deadline coordinated with the Registrar and Marketing/Communications to ensure consistent messaging and timely distribution.</w:t>
      </w:r>
    </w:p>
    <w:p/>
    <w:p>
      <w:pPr>
        <w:pStyle w:val="Heading2"/>
      </w:pPr>
      <w:r>
        <w:t>Conclusion</w:t>
      </w:r>
    </w:p>
    <w:p/>
    <w:p>
      <w:r>
        <w:t>Consistent adherence to these guidelines promotes operational continuity, regulatory compliance, and a positive faculty experience across the institution. Standardized practices reduce delays, clarify responsibilities, and improve coordination among colleges and central offices. Units should document exceptions, track completion of required steps, and escalate issues through established governance channels. Regular review of these guidelines supports continuous improvement as hiring volume and research activity grow.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