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Tenure-Track Faculty Onboarding Workflow Guide</w:t>
      </w:r>
    </w:p>
    <w:p/>
    <w:p>
      <w:pPr>
        <w:pStyle w:val="Heading2"/>
      </w:pPr>
      <w:r>
        <w:t>Introduction</w:t>
      </w:r>
    </w:p>
    <w:p/>
    <w:p>
      <w:r>
        <w:t>This guide standardizes how Eastport University coordinates the onboarding of newly hired tenure-track faculty across colleges and central administrative units. It defines required approvals, system setups, and handoffs needed to enable teaching, research, and service readiness by the start date. The procedures are designed to support consistent compliance, accurate records, and timely access to institutional resources. Units should use this document as the baseline workflow and align any local variations with central policy.</w:t>
      </w:r>
    </w:p>
    <w:p/>
    <w:p>
      <w:pPr>
        <w:pStyle w:val="Heading2"/>
      </w:pPr>
      <w:r>
        <w:t>Academic Policy and Appointment Governance</w:t>
      </w:r>
    </w:p>
    <w:p/>
    <w:p>
      <w:r>
        <w:t>Under Academic Affairs governance, Eastport University’s annual undergraduate recruitment campaign is initiated with documented target regions and program priorities and is approved alongside defined KPIs for inquiries, applications, and yield. Enrollment Management then coordinates with Digital Marketing to deploy compliant email journeys, paid search, and social placements, ensuring all messaging adheres to university brand guidelines and that web assets meet accessibility standards. The campaign calendar is formalized through scheduled campus visit days and high school outreach events, with milestone reporting to the Provost’s office to confirm alignment with academic capacity planning. If enrollment targets shift mid-cycle, the campaign lead reallocates ad spend by channel and adjusts the event schedule accordingly, and when a program becomes over-subscribed, promotion is reduced for that program while investment is increased for under-target programs.</w:t>
      </w:r>
    </w:p>
    <w:p/>
    <w:p>
      <w:pPr>
        <w:pStyle w:val="Heading2"/>
      </w:pPr>
      <w:r>
        <w:t>Conclusion</w:t>
      </w:r>
    </w:p>
    <w:p/>
    <w:p>
      <w:r>
        <w:t>Consistent execution of these guidelines reduces delays, improves data quality, and clarifies responsibilities across stakeholders. Adhering to the defined handoffs ensures faculty receive timely access to facilities, systems, and research support. Standard documentation and approvals also strengthen audit readiness and policy compliance. Questions or exceptions should be routed through the designated process owners to maintain institutional consistency.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