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Faculty Affairs Operational Standards Manual</w:t>
      </w:r>
    </w:p>
    <w:p/>
    <w:p>
      <w:pPr>
        <w:pStyle w:val="Heading2"/>
      </w:pPr>
      <w:r>
        <w:t>Introduction</w:t>
      </w:r>
    </w:p>
    <w:p/>
    <w:p>
      <w:r>
        <w:t>This manual establishes consistent operational standards for faculty affairs across Eastport University’s colleges and central administrative units. It is intended for department administrators, college HR teams, and shared service centers coordinating cross-functional activities. The guidance supports compliance, audit readiness, and service-level expectations while accommodating college-specific practices. Procedures should be reviewed annually to reflect policy updates and system changes.</w:t>
      </w:r>
    </w:p>
    <w:p/>
    <w:p>
      <w:pPr>
        <w:pStyle w:val="Heading2"/>
      </w:pPr>
      <w:r>
        <w:t>Roles, Delegations, and Approvals</w:t>
      </w:r>
    </w:p>
    <w:p/>
    <w:p>
      <w:r>
        <w:t>At Eastport University, Residence Life leads residence hall move-in operations by finalizing room assignments and generating move-in appointment schedules, with Housing Operations coordinating RA coverage, campus security posts, and custodial staffing for day-of execution. The Facilities liaison is responsible for opening maintenance work orders for pre-move-in inspections, tracking completion to readiness milestones, and escalating any maintenance backlog that threatens hall availability. Housing Operations approves and documents the key distribution process, building signage placement, traffic routing plans, and required ADA accommodations, and publishes consolidated move-in instructions to students and families through official channels. If a hall opening is delayed, the Director of Housing authorizes rerouting assignments to overflow housing and triggers a standardized notification to affected students, while accommodation requests are routed to the ADA/Accessibility coordinator for room-change coordination and documented approvals.</w:t>
      </w:r>
    </w:p>
    <w:p/>
    <w:p>
      <w:pPr>
        <w:pStyle w:val="Heading2"/>
      </w:pPr>
      <w:r>
        <w:t>Conclusion</w:t>
      </w:r>
    </w:p>
    <w:p/>
    <w:p>
      <w:r>
        <w:t>Adhering to these standards promotes timely service delivery and consistent outcomes across decentralized units. Clear roles and controlled processes reduce operational risk and strengthen regulatory compliance. Accurate records and governed system access improve reporting integrity and protect institutional data. Routine monitoring and periodic updates ensure practices remain aligned with university policy and external requirements.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