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Tenure-Track Faculty Start-Up Guidelines</w:t>
      </w:r>
    </w:p>
    <w:p/>
    <w:p>
      <w:pPr>
        <w:pStyle w:val="Heading2"/>
      </w:pPr>
      <w:r>
        <w:t>Introduction</w:t>
      </w:r>
    </w:p>
    <w:p/>
    <w:p>
      <w:r>
        <w:t>This manual provides standardized guidance for coordinating key activities associated with bringing new research-track faculty into Eastport University. It aligns college-level practices with central administrative requirements to ensure timely readiness for research, teaching, and service responsibilities. The guidance is intended for department chairs, college HR partners, and central offices supporting academic appointments. Consistent application reduces delays, compliance risk, and start-up disruptions for new hires.</w:t>
      </w:r>
    </w:p>
    <w:p/>
    <w:p>
      <w:pPr>
        <w:pStyle w:val="Heading2"/>
      </w:pPr>
      <w:r>
        <w:t>Appointment Documentation and Compliance Controls</w:t>
      </w:r>
    </w:p>
    <w:p/>
    <w:p>
      <w:r>
        <w:t>Appointment onboarding at Eastport University requires a completed PDF-7 as the foundational compliance record, with job code, rank/track, FTE, and pay basis fully populated before any approvals are initiated. Once the form is complete, the initiating unit must assemble the correct routing path in the PDF-7 routing section (or the university’s workflow tool), attach the finalized PDF-7, and validate that effective dates and job attributes align with both the offer letter and the executed FOP-1. Approval paths vary by appointment type: tenure-track hires must include a Provost approval step in addition to the standard dean’s office and HR reviews, while research-track and term appointments proceed through the dean’s office and HR only. After submission, the onboarding case record must be updated with routing status (e.g., sent or pending) to support auditability and reduce follow-up cycles. This controlled routing process ensures that academic authority and HR compliance checks occur in the proper sequence, minimizing downstream corrections and preventing misalignment between contractual terms and HR system setup.</w:t>
      </w:r>
    </w:p>
    <w:p/>
    <w:p>
      <w:pPr>
        <w:pStyle w:val="Heading2"/>
      </w:pPr>
      <w:r>
        <w:t>Conclusion</w:t>
      </w:r>
    </w:p>
    <w:p/>
    <w:p>
      <w:r>
        <w:t>Adhering to these guidelines supports a predictable, compliant, and faculty-centered transition into the University. Clear coordination across departments and central offices minimizes administrative delays and improves the new faculty experience. Standardization also strengthens audit readiness, policy adherence, and data accuracy across colleges. Regular review and updates should be incorporated to reflect policy, system, and organizational changes.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