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Tenure-Track Faculty Appointment Guidelines</w:t>
      </w:r>
    </w:p>
    <w:p/>
    <w:p>
      <w:pPr>
        <w:pStyle w:val="Heading2"/>
      </w:pPr>
      <w:r>
        <w:t>Introduction</w:t>
      </w:r>
    </w:p>
    <w:p/>
    <w:p>
      <w:r>
        <w:t>This document provides standardized guidelines to support consistent appointment activation and new faculty integration across Eastport University. It aligns academic units, central administration, and shared services to ensure timely readiness for teaching, research, and service responsibilities. The procedures apply to all colleges and departments hiring tenure-track faculty. Adherence to these guidelines promotes compliance, fiscal stewardship, and a positive faculty experience.</w:t>
      </w:r>
    </w:p>
    <w:p/>
    <w:p>
      <w:pPr>
        <w:pStyle w:val="Heading2"/>
      </w:pPr>
      <w:r>
        <w:t>Appointment Activation and Start Coordination</w:t>
      </w:r>
    </w:p>
    <w:p/>
    <w:p>
      <w:r>
        <w:t>Appointment activation and the faculty member’s start date are coordinated only after immigration and employment eligibility prerequisites are addressed. Departments must first confirm the hire’s citizenship or permanent resident status; when sponsorship is required, an ISSS/DSO case is opened, and if not, the unit proceeds directly to scheduling the standard I-9 review. In the active ISSS case, the administrator verifies the requested visa category, ensures the IS-10 packet is complete, and uploads any additional departmental materials needed to support the specific case type. For J-1 appointments, start planning should account for ISSS issuing the DS-2019 only after funding documentation and an English-proficiency attestation have been provided by the department. For H-1B appointments, the timeline must include completion and submission of the Wage/Prevailing Wage Summary (PW-2) before ISSS can move to petition filing. The onboarding case record is updated to note what has been completed, what remains outstanding, and any date risks so payroll activation and arrival logistics can be aligned with compliance milestones.</w:t>
      </w:r>
    </w:p>
    <w:p/>
    <w:p>
      <w:pPr>
        <w:pStyle w:val="Heading2"/>
      </w:pPr>
      <w:r>
        <w:t>Conclusion</w:t>
      </w:r>
    </w:p>
    <w:p/>
    <w:p>
      <w:r>
        <w:t>Consistent execution of these guidelines helps ensure newly appointed faculty are ready to begin work with appropriate access, resources, and institutional support. Clear coordination reduces delays, mitigates compliance risk, and strengthens stakeholder accountability across units. Standard documentation and approvals improve auditability and budget control for start-up commitments. Following these practices supports Eastport University’s research mission and faculty success from day 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