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Tenure-Track Faculty Appointment Guidelines</w:t>
      </w:r>
    </w:p>
    <w:p/>
    <w:p>
      <w:pPr>
        <w:pStyle w:val="Heading2"/>
      </w:pPr>
      <w:r>
        <w:t>Introduction</w:t>
      </w:r>
    </w:p>
    <w:p/>
    <w:p>
      <w:r>
        <w:t>This manual outlines standard internal practices supporting the successful appointment and integration of newly hired tenure-track faculty at Eastport University. It aligns academic, administrative, and operational stakeholders across colleges to ensure consistent execution and appropriate documentation. The guidance applies to all research-track hires, with local college procedures incorporated where applicable. Adherence to these guidelines promotes timely starts, regulatory compliance, and a strong faculty experience.</w:t>
      </w:r>
    </w:p>
    <w:p/>
    <w:p>
      <w:pPr>
        <w:pStyle w:val="Heading2"/>
      </w:pPr>
      <w:r>
        <w:t>Offer Letter and Appointment Administration</w:t>
      </w:r>
    </w:p>
    <w:p/>
    <w:p>
      <w:r>
        <w:t>As part of offer letter and appointment administration, onboarding coordinators must confirm that the faculty member’s I-9 has been completed by the required deadline through on-campus document review or an authorized remote verifier before initiating downstream access provisioning. Using the appointment details captured in the onboarding case (legal name, start date, department, title, supervisor, and primary work location), the coordinator submits the IT Access Request (IT-8) to establish core accounts and role-based permissions, including institutional email, VPN, shared drive access, and any needed ERP/HRIS security roles; learning management system access and specialized security groups are requested only when the appointment duties require them. In parallel, the Campus Card Request (CCR-6) is completed to produce the university ID and enable appropriate building or lab access, documenting affiliation, pickup instructions, and the access level aligned to the hire’s worksite and responsibilities. Where approvals are required for elevated permissions or restricted spaces, supporting authorization is attached to the requests to meet audit and security standards. Ticket and request numbers from both submissions are recorded in the onboarding case to support tracking, timely resolution prior to the start date, and consistent service delivery across colleges.</w:t>
      </w:r>
    </w:p>
    <w:p/>
    <w:p>
      <w:pPr>
        <w:pStyle w:val="Heading2"/>
      </w:pPr>
      <w:r>
        <w:t>Conclusion</w:t>
      </w:r>
    </w:p>
    <w:p/>
    <w:p>
      <w:r>
        <w:t>Consistent application of these guidelines helps Eastport University deliver a predictable and well-governed faculty appointment experience across colleges. Clear role ownership and timely handoffs reduce delays in start dates, funding setup, and access provisioning. Proper documentation and training completion mitigate institutional risk and support compliance obligations. Following this manual strengthens operational readiness and enables new faculty to begin research and teaching effectively.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