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New Faculty Appointment Administration Guide</w:t>
      </w:r>
    </w:p>
    <w:p/>
    <w:p>
      <w:pPr>
        <w:pStyle w:val="Heading2"/>
      </w:pPr>
      <w:r>
        <w:t>Introduction</w:t>
      </w:r>
    </w:p>
    <w:p/>
    <w:p>
      <w:r>
        <w:t>This document provides administrative guidance for managing key activities associated with appointing and integrating newly hired research-track faculty at Eastport University. It aligns practices across colleges and central offices to support consistent execution, compliance, and timely faculty readiness. The guidance is intended for department administrators, college HR partners, and central service units involved in faculty appointments. Local variations may apply by college, but all units must adhere to university-wide requirements.</w:t>
      </w:r>
    </w:p>
    <w:p/>
    <w:p>
      <w:pPr>
        <w:pStyle w:val="Heading2"/>
      </w:pPr>
      <w:r>
        <w:t>Faculty Appointment Lifecycle Procedures</w:t>
      </w:r>
    </w:p>
    <w:p/>
    <w:p>
      <w:r>
        <w:t>As part of the appointment lifecycle, departments must confirm the incoming tenure-track faculty member’s facilities requirements (e.g., office, wet/dry lab, clinic, animal facility, or shop) to ensure access and compliance are established before arrival. When specialized spaces beyond standard office accommodation are needed, the department administrator submits a Lab/Space Access Request (LAR-5) specifying the building and room identifiers, required access level, requested activation date, any sponsor/PI association where applicable, and any after-hours access justification. In parallel, Environmental Health &amp; Safety (EH&amp;S) assigns role-based training aligned to the requested space type, and onboarding staff record training enrollment and completion status in the faculty onboarding case for auditability. If no specialized space is required, only office access is provisioned and the case file should explicitly document that lab/clinic/animal/shop access was not requested. Where startup funds, card issuance, or equipment purchasing are anticipated, Procurement and P-Card training must be completed as a prerequisite; otherwise, standard purchasing permissions may be enabled after the index is created. This structured approach reduces day-one access delays, supports regulatory adherence, and provides consistent documentation across colleges.</w:t>
      </w:r>
    </w:p>
    <w:p/>
    <w:p>
      <w:pPr>
        <w:pStyle w:val="Heading2"/>
      </w:pPr>
      <w:r>
        <w:t>Conclusion</w:t>
      </w:r>
    </w:p>
    <w:p/>
    <w:p>
      <w:r>
        <w:t>Consistent application of these guidelines reduces delays, mitigates compliance risks, and improves the experience for new faculty and hiring units. Coordinated execution across academic departments, colleges, and central offices ensures required approvals and resources are in place prior to the faculty member’s start date. Adherence to established controls supports audit readiness and protects institutional data and research integrity. Units should review and update local checklists regularly to remain aligned with university policy and evolving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