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FY Journal Access Continuity Brief</w:t>
      </w:r>
    </w:p>
    <w:p/>
    <w:p>
      <w:pPr>
        <w:pStyle w:val="Heading2"/>
      </w:pPr>
      <w:r>
        <w:t>Introduction</w:t>
      </w:r>
    </w:p>
    <w:p/>
    <w:p>
      <w:r>
        <w:t>This brief summarizes the annual planning and governance activities that support continuity of journal access across Eastport University. It is intended for department administrators, college research deans, and library leadership to align timelines, approvals, and budget assumptions ahead of the fiscal year close. The document highlights key operational touchpoints between academic units and the Libraries, along with controls used to reduce lapse risk. It also identifies opportunities to streamline decision-making for research-intensive departments and newly hired faculty needs.</w:t>
      </w:r>
    </w:p>
    <w:p/>
    <w:p>
      <w:pPr>
        <w:pStyle w:val="Heading2"/>
      </w:pPr>
      <w:r>
        <w:t>Collections Budget Planning Cycle</w:t>
      </w:r>
    </w:p>
    <w:p/>
    <w:p>
      <w:r>
        <w:t>The Collections unit aligns its multi-year financial plan to the university’s July 1–June 30 fiscal calendar, with preliminary targets drafted by August 15 and revisions completed after the October census. In FY2025, 12% of the materials allocation was reserved for one-time purchases (e.g., data sets and archival digitization) to support newly launched programs in Public Health and Materials Science. Capital requests over $50,000 are routed through the Provost’s annual planning memo and modeled against a 3.5% inflation assumption and a 1.8% enrollment growth forecast. A mid-year reforecast is presented each February to reflect endowment payout adjustments and any deferred technology replacements in the Learning Commons.</w:t>
      </w:r>
    </w:p>
    <w:p/>
    <w:p>
      <w:pPr>
        <w:pStyle w:val="Heading2"/>
      </w:pPr>
      <w:r>
        <w:t>Renewal Coordination and Approvals</w:t>
      </w:r>
    </w:p>
    <w:p/>
    <w:p>
      <w:r>
        <w:t>Procurement Services updated its delegation-of-authority matrix on 2025-01-10, raising the competitive bid threshold from $25,000 to $35,000 for non-construction purchases. During Q2, the library processed 47 purchase requisitions for furniture, lab-grade scanners, and accessibility software, with an average approval cycle time of 9 business days. Any agreement containing data-processing terms is routed to Information Security for a 10-point risk review, and contracts longer than 36 months require General Counsel sign-off. Training on the new e-signature workflow was completed by 86% of department administrators by 2025-03-31.</w:t>
      </w:r>
    </w:p>
    <w:p/>
    <w:p>
      <w:pPr>
        <w:pStyle w:val="Heading2"/>
      </w:pPr>
      <w:r>
        <w:t>Usage Analytics and Vendor Management</w:t>
      </w:r>
    </w:p>
    <w:p/>
    <w:p>
      <w:r>
        <w:t>The library’s analytics program focuses on digital experience performance, including a 22% reduction in website bounce rate after the November 2024 discovery-layer redesign. Vendor scorecards are maintained quarterly for 18 technology providers, tracking SLA uptime (target 99.9%), ticket resolution time (median 14 hours), and accessibility conformance to WCAG 2.1 AA. In Spring 2025, the IT team completed 3 penetration tests and closed 27 medium-severity findings related to SSO configuration and API rate limits. A monthly service review meeting is held on the third Tuesday to address roadmap items such as chatbot escalation rules and mobile wayfinding coverage.</w:t>
      </w:r>
    </w:p>
    <w:p/>
    <w:p>
      <w:pPr>
        <w:pStyle w:val="Heading2"/>
      </w:pPr>
      <w:r>
        <w:t>Conclusion</w:t>
      </w:r>
    </w:p>
    <w:p/>
    <w:p>
      <w:r>
        <w:t>Overall, the annual cycle depends on early budget confirmation, clear departmental points of contact, and standardized approval thresholds to keep access stable. The Libraries coordinate renewals through a defined calendar, routing department-funded titles for validation and cost confirmation while managing centrally funded packages through established governance. Next steps include publishing a single renewal timeline, tightening response deadlines for units, and expanding usage dashboards to support renewal decisions. Library leadership should confirm escalation paths for non-responses to avoid unplanned cancellations and service disruptions.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