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Enterprise Risk Operations Manual</w:t>
      </w:r>
    </w:p>
    <w:p/>
    <w:p>
      <w:pPr>
        <w:pStyle w:val="Heading2"/>
      </w:pPr>
      <w:r>
        <w:t>Introduction</w:t>
      </w:r>
    </w:p>
    <w:p/>
    <w:p>
      <w:r>
        <w:t>This manual provides standardized guidance for core risk and operational practices across HarborPoint Community Bank. It is intended to promote consistent execution, clear documentation, and effective coordination among first-, second-, and third-line teams. The guidance applies to lending and treasury service operations supporting small and mid-sized business clients. Adherence to these standards helps maintain regulatory readiness and sound governance.</w:t>
      </w:r>
    </w:p>
    <w:p/>
    <w:p>
      <w:pPr>
        <w:pStyle w:val="Heading2"/>
      </w:pPr>
      <w:r>
        <w:t>Business Continuity and Resilience Planning</w:t>
      </w:r>
    </w:p>
    <w:p/>
    <w:p>
      <w:r>
        <w:t>To sustain critical treasury product oversight during system outages or vendor disruptions, HarborPoint will maintain a documented fallback process for monthly treasury services fee revenue review and pricing actions. Treasury Operations will extract fee income by service (ACH origination, wire transfers, remote deposit capture, lockbox, positive pay) from the core banking system or, if unavailable, from the prior-day data warehouse snapshot and reconcile totals to the general ledger. The team will compare results to the prior month/quarter and budget, identify the top 20 commercial clients by fee contribution and clients with declining utilization, and draft proposed pricing updates or bundled offers. A one-page summary will be produced for the Treasury Product Manager within two business days of month-end close; clients under contractual pricing schedules will have proposed changes routed to the Relationship Manager for renewal timing, while all others will be included in the immediate repricing list.</w:t>
      </w:r>
    </w:p>
    <w:p/>
    <w:p>
      <w:pPr>
        <w:pStyle w:val="Heading2"/>
      </w:pPr>
      <w:r>
        <w:t>Conclusion</w:t>
      </w:r>
    </w:p>
    <w:p/>
    <w:p>
      <w:r>
        <w:t>Consistent application of these guidelines strengthens operational reliability and risk management across the bank. Clear roles, documented processes, and disciplined execution support effective oversight and auditability. Following this manual helps protect clients, employees, and the institution’s reputation. Questions or exceptions should be escalated through established governance channels.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