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Compliance Case Management Guidelines</w:t>
      </w:r>
    </w:p>
    <w:p/>
    <w:p>
      <w:pPr>
        <w:pStyle w:val="Heading2"/>
      </w:pPr>
      <w:r>
        <w:t>Introduction</w:t>
      </w:r>
    </w:p>
    <w:p/>
    <w:p>
      <w:r>
        <w:t>This document defines HarborPoint Community Bank’s internal standards for managing suspected compliance issues across lending and treasury operations. It establishes consistent controls for receiving concerns, preserving information, and coordinating stakeholders. The guidelines support regulatory expectations while protecting customers, employees, and the bank’s reputation. All employees and managers must follow these procedures when a concern is raised.</w:t>
      </w:r>
    </w:p>
    <w:p/>
    <w:p>
      <w:pPr>
        <w:pStyle w:val="Heading2"/>
      </w:pPr>
      <w:r>
        <w:t>Compliance Governance and Roles</w:t>
      </w:r>
    </w:p>
    <w:p/>
    <w:p>
      <w:r>
        <w:t>Within HarborPoint’s compliance governance model, the Compliance Case Owner is accountable for driving remediation to closure once a potential internal compliance violation has been escalated and validated. Before any corrective work is tracked, the Case Owner must prepare the FM-1 and route it for required approvals, including specialist sign-off where applicable, to ensure remediation is authorized and properly scoped. Approved corrective actions are then logged in the Corrective Action Tracker with a named owner, target completion date, and an agreed test-of-effectiveness approach, and progress is monitored through periodic status updates until all items are complete. Supporting artifacts—such as updated procedures, training attestations, control evidence, and test results—must be uploaded to CCP and cross-referenced in the final case file so that FM-1 approvals and all substantiation are readily retrievable. Governance oversight also requires documenting any determinations regarding regulatory notifications (including rationale and timing) in CCP before the case is finalized. Only after remediation evidence and effectiveness testing are confirmed and reporting decisions are recorded may the Case Owner complete CCP closure steps, update the case status to closed, and verify the closure record is audit-ready.</w:t>
      </w:r>
    </w:p>
    <w:p/>
    <w:p>
      <w:pPr>
        <w:pStyle w:val="Heading2"/>
      </w:pPr>
      <w:r>
        <w:t>Conclusion</w:t>
      </w:r>
    </w:p>
    <w:p/>
    <w:p>
      <w:r>
        <w:t>Consistent handling of compliance concerns strengthens HarborPoint’s control environment and reduces operational and regulatory risk. Following these guidelines ensures issues are escalated appropriately, evidence is safeguarded, and decisions are well documented. Adherence also promotes fairness, confidentiality, and timely remediation. Management is accountable for ensuring teams understand and apply these standards in daily operations.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