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Branch Service Staffing Optimization Brief</w:t>
      </w:r>
    </w:p>
    <w:p/>
    <w:p>
      <w:pPr>
        <w:pStyle w:val="Heading2"/>
      </w:pPr>
      <w:r>
        <w:t>Introduction</w:t>
      </w:r>
    </w:p>
    <w:p/>
    <w:p>
      <w:r>
        <w:t>This brief summarizes recent service-level performance trends across HarborPoint branches and the operational levers available to improve the in-lobby customer experience. It is intended for Retail Banking leadership, branch managers, and Workforce Management to align on near-term staffing and service expectations. The document reviews traffic patterns, coverage assumptions, and controls that influence customer throughput at peak periods. Recommendations focus on practical scheduling actions that can be implemented within current policy and budget guardrails.</w:t>
      </w:r>
    </w:p>
    <w:p/>
    <w:p>
      <w:pPr>
        <w:pStyle w:val="Heading2"/>
      </w:pPr>
      <w:r>
        <w:t>Lobby Traffic and Service Metrics</w:t>
      </w:r>
    </w:p>
    <w:p/>
    <w:p>
      <w:r>
        <w:t>From Q4 2024 through February 2025, HarborPoint tracked 18,420 in-branch visits across 27 locations, with 62% of transactions shifting to ATM and mobile channels. Customer satisfaction surveys (n=1,146) showed lobby cleanliness and signage scored 4.6/5, while overall service experience averaged 4.2/5. The Operations Analytics team also noted that appointment-based platform interactions increased 19% after the January 15, 2025 website refresh. Branch managers continue to review weekly footfall heatmaps, but the current dashboard focuses on channel migration and transaction mix rather than staffing interventions.</w:t>
      </w:r>
    </w:p>
    <w:p/>
    <w:p>
      <w:pPr>
        <w:pStyle w:val="Heading2"/>
      </w:pPr>
      <w:r>
        <w:t>Teller and Platform Coverage Model</w:t>
      </w:r>
    </w:p>
    <w:p/>
    <w:p>
      <w:r>
        <w:t>HarborPoint’s branch coverage model differentiates transaction support (tellers) from advisory support (platform bankers), with a target of 70/30 time allocation for cash vs. consultative activities. As of March 2025, 214 front-line employees completed cross-sell and referral training, improving qualified lead handoffs by 11% month-over-month. The model also standardizes dual-control cash procedures and assigns vault responsibilities to designated keyholders to reduce operational exceptions, which fell to 0.8 per 1,000 transactions in February 2025. Workforce Planning reviews role utilization quarterly, emphasizing skills alignment and service quality rather than specific shift adjustments.</w:t>
      </w:r>
    </w:p>
    <w:p/>
    <w:p>
      <w:pPr>
        <w:pStyle w:val="Heading2"/>
      </w:pPr>
      <w:r>
        <w:t>Scheduling Controls and Risk Considerations</w:t>
      </w:r>
    </w:p>
    <w:p/>
    <w:p>
      <w:r>
        <w:t>Scheduling governance is managed through Kronos timekeeping with approval workflows requiring branch manager sign-off for any variance exceeding 2.0 hours per employee per pay period. In the 2024 internal audit, 3 of 27 branches had minor exceptions related to missed meal attestations, which were remediated by April 30, 2025 with updated supervisor checklists. Risk Management also monitors overtime exposure, which averaged 1.7% of total hours YTD through February 2025, to stay within budget and ensure fair labor compliance. These controls are designed to prevent timekeeping and policy breaches, not to document specific staffing plan modifications.</w:t>
      </w:r>
    </w:p>
    <w:p/>
    <w:p>
      <w:pPr>
        <w:pStyle w:val="Heading2"/>
      </w:pPr>
      <w:r>
        <w:t>Conclusion</w:t>
      </w:r>
    </w:p>
    <w:p/>
    <w:p>
      <w:r>
        <w:t>Branch performance data indicates that targeted adjustments to coverage timing and role utilization can improve the customer experience during peak lobby windows. The updated coverage model should be consistently applied across branches, with local exceptions documented and approved through Workforce Management. Branch managers should monitor weekly service metrics and provide feedback on operational constraints that affect execution. Next steps include confirming adoption, validating results over the next four weeks, and refining the model based on observed demand patterns.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