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2</w:t>
      </w:r>
      <w:r>
        <w:rPr>
          <w:rFonts w:hint="default"/>
          <w:lang w:val="en-US"/>
        </w:rPr>
        <w:t>1</w:t>
      </w:r>
      <w:r>
        <w:rPr>
          <w:rFonts w:hint="default"/>
        </w:rPr>
        <w:t>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BILVA LIFESTYLE PRIVATE LIMITED</w:t>
      </w:r>
    </w:p>
    <w:p w14:paraId="6D53BC88">
      <w:pPr>
        <w:rPr>
          <w:rFonts w:hint="default"/>
        </w:rPr>
      </w:pPr>
      <w:r>
        <w:rPr>
          <w:rFonts w:hint="default"/>
        </w:rPr>
        <w:t>K-1005 10th Floor Tower K, Ajnara Homes GH 3 Sec 16B, Bisrakh, Gautam Buddha Nagar, Bishrakh, Uttar Pradesh, India, 201306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28-01-2026, we hereby give our consent to act as the First Statutory Auditor of BILVA LIFESTYLE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  <w:bookmarkStart w:id="0" w:name="_GoBack"/>
      <w:bookmarkEnd w:id="0"/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36C4884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2026-01-28T06:19:44Z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