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ESSENCERICH ENTERPRISES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U47213AP2026PTC123833    </w:t>
    </w:r>
    <w:r>
      <w:rPr>
        <w:rFonts w:hint="default"/>
        <w:color w:val="0000FF"/>
        <w:highlight w:val="none"/>
      </w:rPr>
      <w:t xml:space="preserve">PAN: AAJCE4750H</w:t>
    </w:r>
    <w:bookmarkStart w:id="0" w:name="_GoBack"/>
    <w:bookmarkEnd w:id="0"/>
    <w:r>
      <w:rPr>
        <w:color w:val="0000FF"/>
        <w:highlight w:val="none"/>
      </w:rPr>
      <w:t xml:space="preserve">    TAN: VPNE02002A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1-00, NEAR AYYAVARIPALLI, Anantapur Collectorate, Ananthapur, Anantapur, Andhra Pradesh, India, 515001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Aramakrishna.chowdary@gmail.com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