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13-04-2026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FRESHEX INTERNATIONAL PRIVATE LIMITED (CIN: U46205MR2026PTC475400) at its meeting held on 13-04-2026,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FRESHEX INTERNATIONAL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RAYYAN MASOOD KASKAR</w:t>
            </w:r>
            <w:r>
              <w:br w:type="textWrapping"/>
            </w:r>
            <w:r>
              <w:t xml:space="preserve">DIN: 11653047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Mahek Munib Kaskar</w:t>
            </w:r>
            <w:r>
              <w:br w:type="textWrapping"/>
            </w:r>
            <w:r>
              <w:t xml:space="preserve">DIN: 11653048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RUKHASANA M K AT, NAYANAGAR, RAJPURI, MURUD, Janjira Murud, Raigarh(MH), Murud, Maharashtra, India, 402401</w:t>
      </w:r>
    </w:p>
    <w:p w14:paraId="48A97497">
      <w:r>
        <w:t xml:space="preserve">Date:  13-04-2026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FRESHEX INTERNATIONAL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U46205MR2026PTC475400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PNEF07936F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RUKHASANA M K AT, NAYANAGAR, RAJPURI, MURUD, Janjira Murud, Raigarh(MH), Murud, Maharashtra, India, 402401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freshexinternational@gmail.com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