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INGREDIENTSX NEXUS PRIVATE LIMITED</w:t>
      </w:r>
      <w:r>
        <w:rPr>
          <w:rFonts w:ascii="Times New Roman" w:hAnsi="Times New Roman" w:cs="Times New Roman"/>
          <w:sz w:val="24"/>
          <w:szCs w:val="24"/>
        </w:rPr>
        <w:t xml:space="preserve">, </w:t>
      </w:r>
      <w:r>
        <w:rPr>
          <w:rFonts w:hint="default"/>
          <w:color w:val="auto"/>
          <w:sz w:val="22"/>
          <w:szCs w:val="22"/>
        </w:rPr>
        <w:t xml:space="preserve">CIN: U46909MH2025PTC461170</w:t>
      </w:r>
      <w:r>
        <w:rPr>
          <w:rFonts w:ascii="Times New Roman" w:hAnsi="Times New Roman" w:cs="Times New Roman"/>
          <w:sz w:val="24"/>
          <w:szCs w:val="24"/>
        </w:rPr>
        <w:t xml:space="preserve">, HELD AT ITS REGISTERED OFFICE AT </w:t>
      </w:r>
      <w:r>
        <w:rPr>
          <w:rFonts w:hint="default"/>
          <w:color w:val="auto"/>
          <w:sz w:val="22"/>
          <w:szCs w:val="22"/>
        </w:rPr>
        <w:t xml:space="preserve">Flat No A 604 Ganesh Atria APPT, Gulmohar colony, Ambad A.S.,Nashik, Nashik, Maharashtra, India, 422010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Rajesh Kumar Ghosh,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INGREDIENTSX NEXUS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Pranay Kumar Manohar Sortey</w:t>
            </w:r>
            <w:r>
              <w:br w:type="textWrapping"/>
            </w:r>
            <w:r>
              <w:t xml:space="preserve">DIN: 09655127</w:t>
            </w:r>
            <w:r>
              <w:br w:type="textWrapping"/>
            </w:r>
            <w:r>
              <w:br w:type="textWrapping"/>
            </w:r>
            <w:r>
              <w:t>____________________</w:t>
            </w:r>
          </w:p>
        </w:tc>
        <w:tc>
          <w:tcPr>
            <w:tcW w:w="4418" w:type="dxa"/>
          </w:tcPr>
          <w:p w14:paraId="7FA2CD90">
            <w:pPr>
              <w:spacing w:after="0" w:line="240" w:lineRule="auto"/>
            </w:pPr>
            <w:r>
              <w:t xml:space="preserve">Rajesh Kumar Ghosh</w:t>
            </w:r>
            <w:r>
              <w:br w:type="textWrapping"/>
            </w:r>
            <w:r>
              <w:t xml:space="preserve">DIN: 11390566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Ashok Kumar Kandpal</w:t>
            </w:r>
            <w:r>
              <w:br w:type="textWrapping"/>
            </w:r>
            <w:r>
              <w:t xml:space="preserve">DIN: 11390567</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30-03-2026</w:t>
      </w:r>
      <w:r>
        <w:br w:type="textWrapping"/>
      </w:r>
      <w:r>
        <w:t xml:space="preserve">Place: Flat No A 604 Ganesh Atria APPT, Gulmohar colony, Ambad A.S.,Nashik, Nashik, Maharashtra, India, 422010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INGREDIENTSX NEXUS PRIVATE LIMITED</w:t>
    </w:r>
  </w:p>
  <w:p w14:paraId="429AF203">
    <w:pPr>
      <w:jc w:val="center"/>
      <w:rPr>
        <w:color w:val="0000FF"/>
      </w:rPr>
    </w:pPr>
    <w:r>
      <w:rPr>
        <w:color w:val="0000FF"/>
      </w:rPr>
      <w:t xml:space="preserve">CIN: U46909MH2025PTC461170    </w:t>
    </w:r>
    <w:r>
      <w:rPr>
        <w:rFonts w:hint="default"/>
        <w:color w:val="0000FF"/>
      </w:rPr>
      <w:t xml:space="preserve">PAN: AAICI5254P</w:t>
    </w:r>
    <w:r>
      <w:rPr>
        <w:color w:val="0000FF"/>
      </w:rPr>
      <w:t xml:space="preserve">    TAN: PNEI14149C</w:t>
    </w:r>
  </w:p>
  <w:p w14:paraId="6A6DBB96">
    <w:pPr>
      <w:jc w:val="center"/>
      <w:rPr>
        <w:color w:val="0000FF"/>
      </w:rPr>
    </w:pPr>
    <w:r>
      <w:rPr>
        <w:color w:val="0000FF"/>
      </w:rPr>
      <w:t xml:space="preserve">Flat No A 604 Ganesh Atria APPT, Gulmohar colony, Ambad A.S.,Nashik, Nashik, Maharashtra, India, 422010</w:t>
    </w:r>
  </w:p>
  <w:p w14:paraId="2B74DF15">
    <w:pPr>
      <w:jc w:val="center"/>
      <w:rPr>
        <w:color w:val="0000FF"/>
      </w:rPr>
    </w:pPr>
    <w:r>
      <w:rPr>
        <w:color w:val="0000FF"/>
      </w:rPr>
      <w:t xml:space="preserve">Email: ingredientsxnexus@gmail.com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