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18-03-2026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INTERNATIONAL MULTI ACTION POLITICAL STRATEGIES (OPC) (CIN: U70200TN2026OPC190885) at its meeting held on 18-03-2026,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INTERNATIONAL MULTI ACTION POLITICAL STRATEGIES (OPC)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NAGA SRINIVASA BAPUJI GUNTUPALLI</w:t>
            </w:r>
            <w:r>
              <w:br w:type="textWrapping"/>
            </w:r>
            <w:r>
              <w:t>DIN: 11609275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0C01390"/>
    <w:p w14:paraId="1BE69CA1"/>
    <w:p w14:paraId="3DDC26EC"/>
    <w:p w14:paraId="08F9E4CB">
      <w:bookmarkStart w:id="0" w:name="_GoBack"/>
      <w:bookmarkEnd w:id="0"/>
      <w:r>
        <w:t>Place: NO.3/46, NEW NO.2/96, BAJANAI KOIL ST, METTU CLY, Porur, Kanchipuram, Sriperumbudur, Tamil Nadu, India, 600116</w:t>
      </w:r>
    </w:p>
    <w:p w14:paraId="48A97497">
      <w:r>
        <w:t>Date:  18-03-2026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INTERNATIONAL MULTI ACTION POLITICAL STRATEGIES (OPC)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U70200TN2026OPC190885   </w:t>
    </w:r>
    <w:r>
      <w:rPr>
        <w:rFonts w:hint="default"/>
        <w:color w:val="0000FF"/>
      </w:rPr>
      <w:t>PAN: AAICI7671L</w:t>
    </w:r>
    <w:r>
      <w:rPr>
        <w:color w:val="0000FF"/>
      </w:rPr>
      <w:t xml:space="preserve">   TAN: CHEI13142D</w:t>
    </w:r>
  </w:p>
  <w:p w14:paraId="3F6DE136">
    <w:pPr>
      <w:jc w:val="center"/>
      <w:rPr>
        <w:color w:val="0000FF"/>
      </w:rPr>
    </w:pPr>
    <w:r>
      <w:rPr>
        <w:color w:val="0000FF"/>
      </w:rPr>
      <w:t>NO.3/46, NEW NO.2/96, BAJANAI KOIL ST, METTU CLY, Porur, Kanchipuram, Sriperumbudur, Tamil Nadu, India, 600116</w:t>
    </w:r>
  </w:p>
  <w:p w14:paraId="1049C1D8">
    <w:pPr>
      <w:jc w:val="center"/>
      <w:rPr>
        <w:color w:val="0000FF"/>
      </w:rPr>
    </w:pPr>
    <w:r>
      <w:rPr>
        <w:color w:val="0000FF"/>
      </w:rPr>
      <w:t>Email: imapstrategies@gmail.com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11E7974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2026-03-18T06:17:17Z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