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ascii="Times New Roman" w:hAnsi="Times New Roman" w:cs="Times New Roman"/>
          <w:lang w:val="en-US"/>
        </w:rPr>
        <w:t>February</w:t>
      </w:r>
      <w:r>
        <w:rPr>
          <w:rFonts w:hint="default" w:ascii="Times New Roman" w:hAnsi="Times New Roman" w:cs="Times New Roman"/>
          <w:lang w:val="en-US"/>
        </w:rPr>
        <w:t>,</w:t>
      </w:r>
      <w:r>
        <w:rPr>
          <w:rFonts w:ascii="Times New Roman" w:hAnsi="Times New Roman" w:cs="Times New Roman"/>
        </w:rPr>
        <w:t xml:space="preserve">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MAGSONS GLOBAL X-TECHNOLOGIES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No.B-4433, B2 Block, Brigade Meadows, Basil, Kagalipura, Bangalore Rural, Bangalore South, Karnataka, India, 560082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w:t>
      </w:r>
      <w:bookmarkStart w:id="0" w:name="_GoBack"/>
      <w:bookmarkEnd w:id="0"/>
      <w:r>
        <w:rPr>
          <w:rFonts w:ascii="Times New Roman" w:hAnsi="Times New Roman" w:cs="Times New Roman"/>
        </w:rPr>
        <w: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MAGSONS GLOBAL X-TECHNOLOGIES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MAGSONS GLOBAL X-TECHNOLOGIES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F126837"/>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2026-02-25T10:48:32Z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