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19-02-2026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MEDICOED PRIVATE LIMITED (CIN: U85499MP2026PTC082049) at its meeting held on 19-02-2026,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MEDICOED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Priyanjali Sharma</w:t>
            </w:r>
            <w:r>
              <w:br w:type="textWrapping"/>
            </w:r>
            <w:r>
              <w:t xml:space="preserve">DIN: 11544652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Soumya Pandey</w:t>
            </w:r>
            <w:r>
              <w:br w:type="textWrapping"/>
            </w:r>
            <w:r>
              <w:t xml:space="preserve">DIN: 11544653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14 B Shri Krishna Avanyou, Face 3, Kasturbagram, Indore, Indore, Madhya Pradesh, India, 452020</w:t>
      </w:r>
    </w:p>
    <w:p w14:paraId="48A97497">
      <w:r>
        <w:t xml:space="preserve">Date:  19-02-2026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MEDICOED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U85499MP2026PTC082049   </w:t>
    </w:r>
    <w:r>
      <w:rPr>
        <w:rFonts w:hint="default"/>
        <w:color w:val="0000FF"/>
      </w:rPr>
      <w:t xml:space="preserve">PAN: AAUCM5173D</w:t>
    </w:r>
    <w:r>
      <w:rPr>
        <w:color w:val="0000FF"/>
      </w:rPr>
      <w:t xml:space="preserve">   TAN: BPLM19656A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14 B Shri Krishna Avanyou, Face 3, Kasturbagram, Indore, Indore, Madhya Pradesh, India, 452020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priyanjalis16@gmail.com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