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01-04-2026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PRASHA CORE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14B shri krishna avanyou, face3 indore, Kasturbagram, Indore, Indore, Madhya Pradesh, India, 452020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01-04-2026, we hereby give our consent to act as the First Statutory Auditor of PRASHA CORE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GSRC AND ASSOCIATES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bookmarkStart w:id="0" w:name="_GoBack"/>
      <w:bookmarkEnd w:id="0"/>
      <w:r>
        <w:rPr>
          <w:rFonts w:hint="default"/>
          <w:lang w:val="en-US"/>
        </w:rPr>
        <w:t>R</w:t>
      </w:r>
      <w:r>
        <w:rPr>
          <w:rFonts w:hint="default"/>
        </w:rPr>
        <w:t>egistration</w:t>
      </w:r>
      <w:r>
        <w:rPr>
          <w:rFonts w:hint="default"/>
          <w:lang w:val="en-US"/>
        </w:rPr>
        <w:t xml:space="preserve"> N</w:t>
      </w:r>
      <w:r>
        <w:rPr>
          <w:rFonts w:hint="default"/>
        </w:rPr>
        <w:t xml:space="preserve">o.: 159615W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2CAC43E3"/>
    <w:rsid w:val="577A1CAF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2026-03-31T14:18:27Z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3D95A015769046829FFF5E7EC66F5916_11</vt:lpwstr>
  </property>
</Properties>
</file>