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>01-04-2026</w:t>
      </w:r>
    </w:p>
    <w:p w14:paraId="17CF6F4F"/>
    <w:p w14:paraId="025DE831">
      <w:r>
        <w:t>To</w:t>
      </w:r>
    </w:p>
    <w:p w14:paraId="28037084">
      <w:r>
        <w:t>GSRC AND ASSOCIATES,</w:t>
      </w:r>
      <w:r>
        <w:br w:type="textWrapping"/>
      </w:r>
      <w:r>
        <w:t>Membership No. 159615W</w:t>
      </w:r>
      <w:r>
        <w:br w:type="textWrapping"/>
      </w:r>
      <w:r>
        <w:t>B 1002, NG Suncity, Phase 2, Thakur Village, Kandivali East, Mumbai – 400101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PRASHA CORE PRIVATE LIMITED (CIN: U72200MP2026PTC082870) at its meeting held on 01-04-2026, has appointed GSRC AND ASSOCIATES, </w:t>
      </w:r>
      <w:r>
        <w:rPr>
          <w:rFonts w:hint="default"/>
        </w:rPr>
        <w:t>Firm Registration No.</w:t>
      </w:r>
      <w:r>
        <w:t>. 159615W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>For PRASHA CORE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>PRIYANJALI SHARMA</w:t>
            </w:r>
            <w:r>
              <w:br w:type="textWrapping"/>
            </w:r>
            <w:r>
              <w:t>DIN: 11544652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>UTKARSH SINGH</w:t>
            </w:r>
            <w:r>
              <w:br w:type="textWrapping"/>
            </w:r>
            <w:r>
              <w:t>DIN: 11563271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</w:p>
        </w:tc>
        <w:tc>
          <w:tcPr>
            <w:tcW w:w="4968" w:type="dxa"/>
          </w:tcPr>
          <w:p w14:paraId="69DA93BF">
            <w:pPr>
              <w:spacing w:after="0" w:line="240" w:lineRule="auto"/>
            </w:pPr>
          </w:p>
        </w:tc>
      </w:tr>
      <w:tr w14:paraId="266526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18B20839">
            <w:pPr>
              <w:spacing w:after="0" w:line="240" w:lineRule="auto"/>
            </w:pPr>
            <w:r>
              <w:t>ASHA SHARMA</w:t>
            </w:r>
            <w:r>
              <w:br w:type="textWrapping"/>
            </w:r>
            <w:r>
              <w:t>DIN: 11569375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480EA8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4968" w:type="dxa"/>
        </w:trPr>
        <w:tc>
          <w:tcPr>
            <w:tcW w:w="4968" w:type="dxa"/>
          </w:tcPr>
          <w:p w14:paraId="7ECE3574">
            <w:pPr>
              <w:spacing w:after="0" w:line="240" w:lineRule="auto"/>
            </w:pPr>
          </w:p>
        </w:tc>
      </w:tr>
    </w:tbl>
    <w:p w14:paraId="4B69BE9A"/>
    <w:p w14:paraId="08F9E4CB">
      <w:r>
        <w:t>Place: 14B shri krishna avanyou, face3 indore, Kasturbagram, Indore, Indore, Madhya Pradesh, India, 452020</w:t>
      </w:r>
    </w:p>
    <w:p w14:paraId="48A97497">
      <w:r>
        <w:t>Date:  01-04-2026</w:t>
      </w:r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>PRASHA CORE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U72200MP2026PTC082870   </w:t>
    </w:r>
    <w:r>
      <w:rPr>
        <w:rFonts w:hint="default"/>
        <w:color w:val="0000FF"/>
      </w:rPr>
      <w:t>PAN: AAQCP8481R</w:t>
    </w:r>
    <w:r>
      <w:rPr>
        <w:color w:val="0000FF"/>
      </w:rPr>
      <w:t xml:space="preserve">   TAN: BPLP12946D</w:t>
    </w:r>
  </w:p>
  <w:p w14:paraId="3F6DE136">
    <w:pPr>
      <w:jc w:val="center"/>
      <w:rPr>
        <w:color w:val="0000FF"/>
      </w:rPr>
    </w:pPr>
    <w:r>
      <w:rPr>
        <w:color w:val="0000FF"/>
      </w:rPr>
      <w:t>14B shri krishna avanyou, face3 indore, Kasturbagram, Indore, Indore, Madhya Pradesh, India, 452020</w:t>
    </w:r>
  </w:p>
  <w:p w14:paraId="1049C1D8">
    <w:pPr>
      <w:jc w:val="center"/>
      <w:rPr>
        <w:color w:val="0000FF"/>
      </w:rPr>
    </w:pPr>
    <w:r>
      <w:rPr>
        <w:color w:val="0000FF"/>
      </w:rPr>
      <w:t>Email: Admin@prashagroup.com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2C12722"/>
    <w:rsid w:val="18887B05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2026-04-01T07:48:10Z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275BA29A797A4757962A39F4C994081A_13</vt:lpwstr>
  </property>
</Properties>
</file>