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w:t>
      </w:r>
      <w:r>
        <w:rPr>
          <w:rFonts w:hint="default" w:ascii="Times New Roman" w:hAnsi="Times New Roman" w:cs="Times New Roman"/>
          <w:vertAlign w:val="superscript"/>
          <w:lang w:val="en-US"/>
        </w:rPr>
        <w:t>st</w:t>
      </w:r>
      <w:r>
        <w:rPr>
          <w:rFonts w:hint="default" w:ascii="Times New Roman" w:hAnsi="Times New Roman" w:cs="Times New Roman"/>
          <w:lang w:val="en-US"/>
        </w:rPr>
        <w:t xml:space="preserve"> </w:t>
      </w:r>
      <w:r>
        <w:rPr>
          <w:rFonts w:ascii="Times New Roman" w:hAnsi="Times New Roman" w:cs="Times New Roman"/>
        </w:rPr>
        <w:t xml:space="preserve">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RAKHANGI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 1, FLR-107, ANANDASHRAM, DR RG THADANI MARG, Worli, Mumbai, Mumbai, Maharashtra, India, 400018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RAKHANGI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RAKHANGI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6535FCF"/>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2026-04-01T06:25:45Z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