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RENTRO MOBILITY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U77100MH2026OPC468273    </w:t>
    </w:r>
    <w:r>
      <w:rPr>
        <w:rFonts w:hint="default"/>
        <w:color w:val="0000FF"/>
        <w:highlight w:val="none"/>
      </w:rPr>
      <w:t xml:space="preserve">PAN: AAPCR5468R</w:t>
    </w:r>
    <w:bookmarkStart w:id="0" w:name="_GoBack"/>
    <w:bookmarkEnd w:id="0"/>
    <w:r>
      <w:rPr>
        <w:color w:val="0000FF"/>
        <w:highlight w:val="none"/>
      </w:rPr>
      <w:t xml:space="preserve">    TAN: MUMR55437E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22, FLOOR 4TH, GARDEE HOUSE BHENDI BAZAR, Mumbai, Mumbai, Mumbai, Maharashtra, India, 400003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rentromobility@gmail.com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