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21</w:t>
      </w:r>
      <w:r>
        <w:rPr>
          <w:rFonts w:hint="default" w:ascii="Times New Roman" w:hAnsi="Times New Roman" w:cs="Times New Roman"/>
          <w:vertAlign w:val="superscript"/>
          <w:lang w:val="en-US"/>
        </w:rPr>
        <w:t>st</w:t>
      </w:r>
      <w:r>
        <w:rPr>
          <w:rFonts w:hint="default" w:ascii="Times New Roman" w:hAnsi="Times New Roman" w:cs="Times New Roman"/>
          <w:lang w:val="en-US"/>
        </w:rPr>
        <w:t xml:space="preserve"> February </w:t>
      </w:r>
      <w:r>
        <w:rPr>
          <w:rFonts w:ascii="Times New Roman" w:hAnsi="Times New Roman" w:cs="Times New Roman"/>
        </w:rPr>
        <w:t>, 202</w:t>
      </w:r>
      <w:r>
        <w:rPr>
          <w:rFonts w:hint="default" w:ascii="Times New Roman" w:hAnsi="Times New Roman" w:cs="Times New Roman"/>
          <w:lang w:val="en-US"/>
        </w:rPr>
        <w:t>6</w:t>
      </w:r>
      <w:r>
        <w:rPr>
          <w:rFonts w:ascii="Times New Roman" w:hAnsi="Times New Roman" w:cs="Times New Roman"/>
        </w:rPr>
        <w:t>,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RENTRO MOBILITY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22, FLOOR 4TH, GARDEE HOUSE BHENDI BAZAR, Mumbai, Mumbai, Mumbai, Maharashtra, India, 400003</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 xml:space="preserve">This Agreement shall commence on the date first written above and remain in force for a period of </w:t>
      </w:r>
      <w:r>
        <w:rPr>
          <w:rFonts w:hint="default" w:ascii="Times New Roman" w:hAnsi="Times New Roman" w:cs="Times New Roman"/>
          <w:lang w:val="en-US"/>
        </w:rPr>
        <w:t>12 Month</w:t>
      </w:r>
      <w:bookmarkStart w:id="0" w:name="_GoBack"/>
      <w:bookmarkEnd w:id="0"/>
      <w:r>
        <w:rPr>
          <w:rFonts w:ascii="Times New Roman" w:hAnsi="Times New Roman" w:cs="Times New Roman"/>
        </w:rPr>
        <w:t>,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RENTRO MOBILITY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RENTRO MOBILITY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07197387"/>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2026-02-21T08:44:56Z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