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RUNIC INDIA PRIVATE LIMITED (CIN: U62099KA2026PTC215232) at its meeting held on 21-03-2026,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RUNIC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ISHANI SINGH</w:t>
            </w:r>
            <w:r>
              <w:br w:type="textWrapping"/>
            </w:r>
            <w:r>
              <w:t xml:space="preserve">DIN: 11421124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VIVEK JAIN</w:t>
            </w:r>
            <w:r>
              <w:br w:type="textWrapping"/>
            </w:r>
            <w:r>
              <w:t xml:space="preserve">DIN: 11421123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Prestige Estates Projects, No 26 Laskar Hosur Road, Adugodi, Bangalore, Bangalore South, Karnataka, India, 560030</w:t>
      </w:r>
    </w:p>
    <w:p w14:paraId="48A97497">
      <w:r>
        <w:t xml:space="preserve">Date:  21-03-2026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RUNIC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U62099KA2026PTC215232   </w:t>
    </w:r>
    <w:r>
      <w:rPr>
        <w:rFonts w:hint="default"/>
        <w:color w:val="0000FF"/>
      </w:rPr>
      <w:t xml:space="preserve">PAN: AAPCR4976E</w:t>
    </w:r>
    <w:r>
      <w:rPr>
        <w:color w:val="0000FF"/>
      </w:rPr>
      <w:t xml:space="preserve">   TAN: BLRR35607F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Prestige Estates Projects, No 26 Laskar Hosur Road, Adugodi, Bangalore, Bangalore South, Karnataka, India, 560030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corp@runic.global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