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TRIPADA INFRATECH DEVELOPER PRIVATE LIMITED (CIN: U41000KA2026PTC216245) at its meeting held on 26-02-2026,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TRIPADA INFRATECH DEVELOPER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CHAITRA JAYASHANKAR</w:t>
            </w:r>
            <w:r>
              <w:br w:type="textWrapping"/>
            </w:r>
            <w:r>
              <w:t xml:space="preserve">DIN: 08172385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Surekha</w:t>
            </w:r>
            <w:r>
              <w:br w:type="textWrapping"/>
            </w:r>
            <w:r>
              <w:t xml:space="preserve">DIN: 11552503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235 RAMACHANDRAPURA, Vidyaranyapura, Bangalore, Bangalore North, Karnataka, India, 560097</w:t>
      </w:r>
    </w:p>
    <w:p w14:paraId="48A97497">
      <w:r>
        <w:t xml:space="preserve">Date:  26-02-2026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TRIPADA INFRATECH DEVELOPER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U41000KA2026PTC216245   </w:t>
    </w:r>
    <w:r>
      <w:rPr>
        <w:rFonts w:hint="default"/>
        <w:color w:val="0000FF"/>
      </w:rPr>
      <w:t xml:space="preserve">PAN: AAMCT8227F</w:t>
    </w:r>
    <w:r>
      <w:rPr>
        <w:color w:val="0000FF"/>
      </w:rPr>
      <w:t xml:space="preserve">   TAN: BLRT27178E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235 RAMACHANDRAPURA, Vidyaranyapura, Bangalore, Bangalore North, Karnataka, India, 560097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Tripadainfratech@gmail.com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