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9</w:t>
      </w:r>
      <w:r>
        <w:rPr>
          <w:rFonts w:ascii="Times New Roman" w:hAnsi="Times New Roman" w:cs="Times New Roman"/>
        </w:rPr>
        <w:t xml:space="preserve">th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VADNAGAR CHARITABLE FOUNDATION</w:t>
      </w:r>
      <w:r>
        <w:rPr>
          <w:rFonts w:ascii="Times New Roman" w:hAnsi="Times New Roman" w:cs="Times New Roman"/>
        </w:rPr>
        <w:t>, a company incorporated under the Co</w:t>
      </w:r>
      <w:bookmarkStart w:id="0" w:name="_GoBack"/>
      <w:bookmarkEnd w:id="0"/>
      <w:r>
        <w:rPr>
          <w:rFonts w:ascii="Times New Roman" w:hAnsi="Times New Roman" w:cs="Times New Roman"/>
        </w:rPr>
        <w:t xml:space="preserve">mpanies Act, 2013, having its registered office at </w:t>
      </w:r>
      <w:r>
        <w:rPr>
          <w:rFonts w:ascii="Times New Roman" w:hAnsi="Times New Roman" w:eastAsia="SimSun" w:cs="Times New Roman"/>
          <w:sz w:val="24"/>
          <w:szCs w:val="24"/>
        </w:rPr>
        <w:t>UJJVAL HOMES-2, Nana Chiloda, Ahmedabad, Ahmadabad City, Gujarat, India, 382330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VADNAGAR CHARITABLE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VADNAGAR CHARITABLE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5AC623D"/>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2025-12-09T07:32:02Z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