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directors[0].name }}</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DIN: {{ directors[0].din }}</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directors[1].name }}</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DIN: {{ directors[1].din }}</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9"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company.name }}</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 company.cin or '-' }}</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company.registered_address or '-' }}</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company.name }}</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 company.cin or '-' }}</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company.registered_address or '-' }}</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7"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SHARE CERTIFICATE NO.:</w:t>
                              </w:r>
                              <w:r>
                                <w:rPr>
                                  <w:rFonts w:eastAsia="Times New Roman"/>
                                  <w:color w:val="000000" w:themeColor="text1"/>
                                  <w:kern w:val="24"/>
                                  <w:sz w:val="20"/>
                                  <w:szCs w:val="20"/>
                                  <w14:textFill>
                                    <w14:solidFill>
                                      <w14:schemeClr w14:val="tx1"/>
                                    </w14:solidFill>
                                  </w14:textFill>
                                </w:rPr>
                                <w:t xml:space="preserve"> {{ share_cert.certificate_no }}</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Class of shares        : {{ share_cert.share_type }}</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Nominal value per share: ₹ {{ share_cert.face_value }}</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Amount paid-up per share: ₹ {{ share_cert.paid_up_per_share or share_cert.face_value }}</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Register Folio No.     : {{ share_cert.folio_no }}</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Certificate Number     : {{ share_cert.certificate_no }}</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Name(s) of the Holder(s): {{ share_cert.shareholder_name }}</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Number of shares held   : {{ share_cert.no_of_shares }}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Distinctive No.(s)       : From {{ share_cert.distinctive_from }} To {{ share_cert.distinctive_to }}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SHARE CERTIFICATE NO.:</w:t>
                        </w:r>
                        <w:r>
                          <w:rPr>
                            <w:rFonts w:eastAsia="Times New Roman"/>
                            <w:color w:val="000000" w:themeColor="text1"/>
                            <w:kern w:val="24"/>
                            <w:sz w:val="20"/>
                            <w:szCs w:val="20"/>
                            <w14:textFill>
                              <w14:solidFill>
                                <w14:schemeClr w14:val="tx1"/>
                              </w14:solidFill>
                            </w14:textFill>
                          </w:rPr>
                          <w:t xml:space="preserve"> {{ share_cert.certificate_no }}</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Class of shares        : {{ share_cert.share_type }}</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Nominal value per share: ₹ {{ share_cert.face_value }}</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Amount paid-up per share: ₹ {{ share_cert.paid_up_per_share or share_cert.face_value }}</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Register Folio No.     : {{ share_cert.folio_no }}</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Certificate Number     : {{ share_cert.certificate_no }}</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Name(s) of the Holder(s): {{ share_cert.shareholder_name }}</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Number of shares held   : {{ share_cert.no_of_shares }}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Distinctive No.(s)       : From {{ share_cert.distinctive_from }} To {{ share_cert.distinctive_to }}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