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814638" cy="3618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61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31"/>
          <w:szCs w:val="31"/>
          <w:highlight w:val="white"/>
          <w:rtl w:val="0"/>
        </w:rPr>
        <w:t xml:space="preserve">&lt;Property Address 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before="48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Transaction Timeline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5"/>
        <w:gridCol w:w="1455"/>
        <w:tblGridChange w:id="0">
          <w:tblGrid>
            <w:gridCol w:w="8115"/>
            <w:gridCol w:w="1455"/>
          </w:tblGrid>
        </w:tblGridChange>
      </w:tblGrid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Purchase Price………………....…………………………………………………….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$450,000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Contract Date…………………….…………………………………………………..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9/4/25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Acceptance Date……………………………………………………………………..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9/4/25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Preapproval Letter…………………………………………………………………...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 - Seller Financing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Verification of Funds…………………………………………………………………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9/4/25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Earnest Money Deposit……………………………………………………………...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9/9/25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Seller Delivery of Documents..……………………………………………………....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Investigation Contingency Removal….………………………………………………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9/22/25*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Insurance Contingency Removal….……………….…………………………………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9/22/25*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Seller Documents Contingency Removal…………………………………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9/22/25*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Preliminary Title Report Contingency Removal………………..…………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9/22/25*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Common Interest Disclosures Contingency Removal…………………….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9/22/25*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Appraisal Contingency Removal.…………………………………………………….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Waived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Loan Contingency Removal…………..………………………………………………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 - Seller Financing</w:t>
            </w:r>
          </w:p>
        </w:tc>
      </w:tr>
      <w:tr>
        <w:trPr>
          <w:cantSplit w:val="0"/>
          <w:trHeight w:val="623.668341708542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Final Verification of Property Condition……………………………………………..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Within 5 days prior to COE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Close of Escrow...……………….…………………………………………………....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10/6/25*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Possession……...……………….…………………………………………………....</w:t>
            </w:r>
          </w:p>
        </w:tc>
        <w:tc>
          <w:tcPr>
            <w:tcBorders>
              <w:top w:color="ffffff" w:space="0" w:sz="6" w:val="single"/>
              <w:left w:color="ffffff" w:space="0" w:sz="8" w:val="single"/>
              <w:bottom w:color="ffffff" w:space="0" w:sz="8" w:val="single"/>
              <w:right w:color="ffffff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Upon notice of recordation</w:t>
            </w:r>
          </w:p>
        </w:tc>
      </w:tr>
      <w:tr>
        <w:trPr>
          <w:cantSplit w:val="0"/>
          <w:trHeight w:val="548.492462311557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*Deadlines that fall on weekends or holidays move to the following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