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814638" cy="3618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61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31"/>
          <w:szCs w:val="31"/>
          <w:highlight w:val="white"/>
          <w:rtl w:val="0"/>
        </w:rPr>
        <w:t xml:space="preserve">6285 Spyrock Rd, Laytonville, CA, 95454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before="48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Transaction Timeline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5"/>
        <w:gridCol w:w="1455"/>
        <w:tblGridChange w:id="0">
          <w:tblGrid>
            <w:gridCol w:w="8115"/>
            <w:gridCol w:w="1455"/>
          </w:tblGrid>
        </w:tblGridChange>
      </w:tblGrid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Purchase Price………………....…………………………………………………….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$410,000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Acceptance Date……………………………………………………………………..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5/25/25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Preapproval Letter…………………………………………………………………...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5/25/25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Verification of Funds…………………………………………………………………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5/25/25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Earnest Money Deposit……………………………………………………………...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5/29/25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Seller Delivery of Documents..……………………………………………………....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6/2/25*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Investigation Contingency Removal….………………………………………………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Insurance Contingency Removal….……………….…………………………………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Seller Documents Contingency Removal…………………………………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Preliminary Title Report Contingency Removal………………..…………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Common Interest Disclosures Contingency Removal…………………….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Loan Contingency Removal…………..………………………………………………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Appraisal Contingency Removal.…………………………………………………….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6/16/25*</w:t>
            </w:r>
          </w:p>
        </w:tc>
      </w:tr>
      <w:tr>
        <w:trPr>
          <w:cantSplit w:val="0"/>
          <w:trHeight w:val="623.668341708542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Final Verification of Property Condition……………………………………………..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5 days prior to COE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Escrow...……………….…………………………………………………....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6/24/25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Possession……...……………….…………………………………………………....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Upon notice of recordation</w:t>
            </w:r>
          </w:p>
        </w:tc>
      </w:tr>
      <w:tr>
        <w:trPr>
          <w:cantSplit w:val="0"/>
          <w:trHeight w:val="548.492462311557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*Deadlines that fall on weekends or holidays move to the following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