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&lt;Property Address 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before="480" w:line="276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Transaction Timeline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5"/>
        <w:gridCol w:w="1695"/>
        <w:tblGridChange w:id="0">
          <w:tblGrid>
            <w:gridCol w:w="8115"/>
            <w:gridCol w:w="16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Purchase Price………………....…………………………………………………….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$630,000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Acceptance Date……………………………………………………………………..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11/17/25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Preapproval Letter…………………………………………………………………...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 - All Cash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Verification of Funds…………………………………………………………………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11/17/25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Earnest Money Deposit……………………………………………………………...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11/20/25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Seller Delivery of Documents..……………………………………………………....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11/24/25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Investigation Contingency Removal….………………………………………………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Insurance Contingency Removal….……………….…………………………………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Seller Documents Contingency Removal…………………………………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Preliminary Title Report Contingency Removal………………..…………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Review of Common Interest Disclosures Contingency Removal…………………….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Appraisal Contingency Removal.…………………………………………………….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Loan Contingency Removal…………..………………………………………………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N/A - All Cash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Final Verification of Property Condition……………………………………………..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Within 5 days prior to COE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Close of Escrow...……………….…………………………………………………....</w:t>
            </w:r>
          </w:p>
        </w:tc>
        <w:tc>
          <w:tcPr>
            <w:tcBorders>
              <w:top w:color="ffffff" w:space="0" w:sz="9" w:val="single"/>
              <w:left w:color="ffffff" w:space="0" w:sz="9" w:val="single"/>
              <w:bottom w:color="ffffff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11/24/25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highlight w:val="white"/>
          <w:rtl w:val="0"/>
        </w:rPr>
        <w:t xml:space="preserve">*Deadlines that fall on weekends or holidays have been moved to the next business day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</w:rPr>
      <w:drawing>
        <wp:inline distB="114300" distT="114300" distL="114300" distR="114300">
          <wp:extent cx="2300288" cy="128285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00288" cy="12828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