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Languages(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[Name] nvarchar(60),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Family nvarchar(60),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Speakers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MainAreal nvarchar(60)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procedure [dbo].[SearchLanguages]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@Name nvarchar(100) =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@Family nvarchar(100) =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@MainAreal nvarchar(50) =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@Speakers int =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Languages where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 [Name] = @Name or @Name is null)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 Family = @Family or @Family is null)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(MainAreal = @MainAreal or @MainAreal is null)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(Speakers = @Speakers or @Speakers is null)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values('Estonian', 'Uralic', 'Estonia', 1100000)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values('Icelandic', 'Indo-European', 'Iceland', 314000)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values('Romanian', 'Indo-European', 'Romania', 24000000)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values('Hungarian', 'Uralic', 'Hungary', 13000000)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values('Basque', 'Isolate', 'Spain', 750000)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values('Hebrew', 'Afro-Asiatic', 'Israel', 9000000)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values('Chinese', 'Sino-Tibetan', 'China', 1200000000)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values('Malay', 'Austronesian', 'Malaysia', 77000000)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values('Hindustani', 'Indo-European', 'India', 592000000)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Languages([Name], Family, MainAreal, Speakers) values('Persian', 'Indo-European', 'Iran', 110000000)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