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8AA56" w14:textId="420BA8E4" w:rsidR="00842C9D" w:rsidRPr="00842C9D" w:rsidRDefault="00842C9D" w:rsidP="00842C9D">
      <w:pPr>
        <w:pStyle w:val="Ttulo"/>
        <w:jc w:val="center"/>
        <w:rPr>
          <w:rFonts w:ascii="Times New Roman" w:hAnsi="Times New Roman" w:cs="Times New Roman"/>
        </w:rPr>
      </w:pPr>
      <w:r w:rsidRPr="00842C9D">
        <w:rPr>
          <w:rFonts w:ascii="Times New Roman" w:hAnsi="Times New Roman" w:cs="Times New Roman"/>
        </w:rPr>
        <w:t>Predicción de la expansión de variantes de SARS-CoV-2 en la población mediante Aprendizaje Automático</w:t>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p>
    <w:p w14:paraId="44D68439" w14:textId="749B5A0B" w:rsidR="00842C9D" w:rsidRPr="00842C9D" w:rsidRDefault="00842C9D" w:rsidP="00842C9D">
      <w:pPr>
        <w:pStyle w:val="Subttulo"/>
        <w:jc w:val="center"/>
        <w:rPr>
          <w:rFonts w:ascii="Times New Roman" w:hAnsi="Times New Roman" w:cs="Times New Roman"/>
        </w:rPr>
      </w:pPr>
      <w:r w:rsidRPr="00842C9D">
        <w:rPr>
          <w:rFonts w:ascii="Times New Roman" w:hAnsi="Times New Roman" w:cs="Times New Roman"/>
        </w:rPr>
        <w:t>Trabajo de Fin de Máster</w:t>
      </w:r>
    </w:p>
    <w:p w14:paraId="7E20B4C1" w14:textId="47C35A22" w:rsidR="00842C9D" w:rsidRPr="00842C9D" w:rsidRDefault="00842C9D" w:rsidP="00842C9D">
      <w:pPr>
        <w:jc w:val="center"/>
        <w:rPr>
          <w:rFonts w:ascii="Times New Roman" w:hAnsi="Times New Roman" w:cs="Times New Roman"/>
          <w:sz w:val="28"/>
        </w:rPr>
      </w:pPr>
      <w:r w:rsidRPr="00842C9D">
        <w:rPr>
          <w:rFonts w:ascii="Times New Roman" w:hAnsi="Times New Roman" w:cs="Times New Roman"/>
          <w:sz w:val="28"/>
        </w:rPr>
        <w:t>Sergio López González del Rey</w:t>
      </w:r>
    </w:p>
    <w:p w14:paraId="4FF758E4" w14:textId="5F19F386" w:rsidR="00842C9D" w:rsidRPr="00842C9D" w:rsidRDefault="00842C9D" w:rsidP="00842C9D">
      <w:pPr>
        <w:jc w:val="center"/>
        <w:rPr>
          <w:rFonts w:ascii="Times New Roman" w:hAnsi="Times New Roman" w:cs="Times New Roman"/>
        </w:rPr>
      </w:pPr>
      <w:r w:rsidRPr="00842C9D">
        <w:rPr>
          <w:rFonts w:ascii="Times New Roman" w:hAnsi="Times New Roman" w:cs="Times New Roman"/>
        </w:rPr>
        <w:t>Mayo 2026</w:t>
      </w:r>
    </w:p>
    <w:p w14:paraId="7DCCB779" w14:textId="77777777" w:rsidR="00842C9D" w:rsidRPr="00842C9D" w:rsidRDefault="00842C9D" w:rsidP="00842C9D">
      <w:pPr>
        <w:rPr>
          <w:rFonts w:ascii="Times New Roman" w:hAnsi="Times New Roman" w:cs="Times New Roman"/>
        </w:rPr>
      </w:pPr>
    </w:p>
    <w:p w14:paraId="7B274B69" w14:textId="036DCBD4" w:rsidR="00842C9D" w:rsidRDefault="00842C9D">
      <w:r>
        <w:br w:type="page"/>
      </w:r>
    </w:p>
    <w:p w14:paraId="1AFA830B" w14:textId="1781FF76" w:rsidR="00842C9D" w:rsidRPr="00842C9D" w:rsidRDefault="00842C9D" w:rsidP="00387013">
      <w:pPr>
        <w:pStyle w:val="Ttulo1"/>
        <w:jc w:val="both"/>
        <w:rPr>
          <w:rFonts w:ascii="Times New Roman" w:hAnsi="Times New Roman" w:cs="Times New Roman"/>
        </w:rPr>
      </w:pPr>
      <w:r w:rsidRPr="00842C9D">
        <w:rPr>
          <w:rFonts w:ascii="Times New Roman" w:hAnsi="Times New Roman" w:cs="Times New Roman"/>
        </w:rPr>
        <w:lastRenderedPageBreak/>
        <w:t>Resumen</w:t>
      </w:r>
    </w:p>
    <w:p w14:paraId="27AD6B03" w14:textId="7229347B" w:rsidR="00842C9D" w:rsidRPr="00842C9D" w:rsidRDefault="00842C9D" w:rsidP="00387013">
      <w:pPr>
        <w:jc w:val="both"/>
        <w:rPr>
          <w:rFonts w:ascii="Times New Roman" w:hAnsi="Times New Roman" w:cs="Times New Roman"/>
        </w:rPr>
      </w:pPr>
      <w:r w:rsidRPr="00842C9D">
        <w:rPr>
          <w:rFonts w:ascii="Times New Roman" w:hAnsi="Times New Roman" w:cs="Times New Roman"/>
        </w:rPr>
        <w:t>Este trabajo presenta un sistema de predicción de variantes emergentes de SARS-CoV-2 basado en machine learning que procesa 17,15 millones de secuencias genómicas de GISAID (diciembre 2019 – febrero 2026). Se desarrollan dos modelos complementarios: el Modelo 1 opera sobre 19 grupos Nextclade (19A–25C) con 13 features temporales, y el Modelo 2 opera sobre 366 familias Pango (XFG, JN, BA...) añadiendo 30 features mutacionales calculadas como el perfil mutacional interno de cada familia (fracción de sus secuencias que portan cada mutación esa semana). Ambos modelos predicen si un linaje crecerá ≥50% y superará el 0,5% de frecuencia global en las siguientes 4 semanas.</w:t>
      </w:r>
      <w:proofErr w:type="spellStart"/>
      <w:r w:rsidRPr="00842C9D">
        <w:rPr>
          <w:rFonts w:ascii="Times New Roman" w:hAnsi="Times New Roman" w:cs="Times New Roman"/>
        </w:rPr>
      </w:r>
      <w:proofErr w:type="spellEnd"/>
      <w:r w:rsidRPr="00842C9D">
        <w:rPr>
          <w:rFonts w:ascii="Times New Roman" w:hAnsi="Times New Roman" w:cs="Times New Roman"/>
        </w:rPr>
      </w:r>
      <w:r w:rsidR="00CB4EB6" w:rsidRPr="00CB4EB6">
        <w:rPr>
          <w:rFonts w:ascii="Times New Roman" w:hAnsi="Times New Roman" w:cs="Times New Roman"/>
        </w:rPr>
      </w:r>
      <w:r w:rsidRPr="00842C9D">
        <w:rPr>
          <w:rFonts w:ascii="Times New Roman" w:hAnsi="Times New Roman" w:cs="Times New Roman"/>
        </w:rPr>
      </w:r>
      <w:r w:rsidR="00F46007" w:rsidRPr="00CB4EB6">
        <w:rPr>
          <w:rFonts w:ascii="Times New Roman" w:hAnsi="Times New Roman" w:cs="Times New Roman"/>
        </w:rPr>
      </w:r>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
    <w:p w14:paraId="292E2E53" w14:textId="69EEBB30" w:rsidR="00842C9D" w:rsidRPr="00842C9D" w:rsidRDefault="00842C9D" w:rsidP="00387013">
      <w:pPr>
        <w:jc w:val="both"/>
        <w:rPr>
          <w:rFonts w:ascii="Times New Roman" w:hAnsi="Times New Roman" w:cs="Times New Roman"/>
        </w:rPr>
      </w:pPr>
      <w:r w:rsidRPr="00842C9D">
        <w:rPr>
          <w:rFonts w:ascii="Times New Roman" w:hAnsi="Times New Roman" w:cs="Times New Roman"/>
        </w:rPr>
        <w:t>El Modelo 1 alcanza un AUC de 0,8283 (baseline aleatorio: 0,498) usando exclusivamente features de dinámica temporal. El Modelo 2 con mutaciones within-family (M2-30muts) alcanza AUC = 0,8398, superando al Modelo 1 (+0,012 AUC) cuando se aplica early stopping sin fuga al conjunto de test. En términos de Precision-Recall, M2-temporal obtiene AP = 0,476 = 4,02× el azar, la más alta de todos los modelos. Con threshold óptimo, el sistema alcanza F1 = 0,40, Precision = 0,38 y Recall = 0,43. El análisis SHAP confirma que las tres features más predictivas son freq_t0 (0,378), slope_8w (0,302) y slope_4w (0,268), validando que la dinámica de momentum es el predictor dominante. El análisis de supervivencia complementario (Cox PH, C-index = 0,740) extiende el horizonte predictivo a 6 meses, identificando como predictores universales de dominancia la frecuencia y pendiente de crecimiento en el momento de detección, con independencia de la época pandémica.</w:t>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proofErr w:type="spellStart"/>
      <w:r w:rsidRPr="00842C9D">
        <w:rPr>
          <w:rFonts w:ascii="Times New Roman" w:hAnsi="Times New Roman" w:cs="Times New Roman"/>
        </w:rPr>
      </w:r>
      <w:proofErr w:type="spellEnd"/>
      <w:r w:rsidRPr="00842C9D">
        <w:rPr>
          <w:rFonts w:ascii="Times New Roman" w:hAnsi="Times New Roman" w:cs="Times New Roman"/>
        </w:rPr>
      </w:r>
      <w:r w:rsidR="00173607" w:rsidRPr="00173607">
        <w:rPr>
          <w:rFonts w:ascii="Times New Roman" w:hAnsi="Times New Roman" w:cs="Times New Roman"/>
        </w:rPr>
      </w:r>
      <w:r w:rsidRPr="00842C9D">
        <w:rPr>
          <w:rFonts w:ascii="Times New Roman" w:hAnsi="Times New Roman" w:cs="Times New Roman"/>
        </w:rPr>
      </w:r>
      <w:r w:rsidRPr="00DE4887">
        <w:rPr>
          <w:rFonts w:ascii="Times New Roman" w:hAnsi="Times New Roman" w:cs="Times New Roman"/>
          <w:szCs w:val="36"/>
        </w:rPr>
      </w:r>
      <w:r w:rsidRPr="006530D5">
        <w:rPr>
          <w:rFonts w:ascii="Times New Roman" w:hAnsi="Times New Roman" w:cs="Times New Roman"/>
          <w:sz w:val="36"/>
          <w:szCs w:val="36"/>
        </w:rPr>
      </w:r>
      <w:r w:rsidRPr="00842C9D">
        <w:rPr>
          <w:rFonts w:ascii="Times New Roman" w:hAnsi="Times New Roman" w:cs="Times New Roman"/>
        </w:rPr>
      </w:r>
      <w:r/>
    </w:p>
    <w:p w14:paraId="322B3507" w14:textId="50EFD396" w:rsidR="00842C9D" w:rsidRPr="00842C9D" w:rsidRDefault="00842C9D" w:rsidP="00387013">
      <w:pPr>
        <w:jc w:val="both"/>
        <w:rPr>
          <w:rFonts w:ascii="Times New Roman" w:hAnsi="Times New Roman" w:cs="Times New Roman"/>
        </w:rPr>
      </w:pPr>
      <w:r w:rsidRPr="00842C9D">
        <w:rPr>
          <w:rFonts w:ascii="Times New Roman" w:hAnsi="Times New Roman" w:cs="Times New Roman"/>
        </w:rPr>
        <w:t>Las principales limitaciones incluyen el tamaño reducido de la cohorte UDS (28 pacientes), el sesgo geográfico de GISAID, y la baja precisión operacional en producción (de cada 10 alertas, 7 son falsos positivos), que posiciona al sistema como herramienta de priorización de vigilancia, no como oráculo predictivo. Se proponen tres escenarios de utilidad futura: vigilancia epidemiológica prospectiva, selección de candidatos vacunales, y amplificación de programas UDS.</w:t>
      </w:r>
    </w:p>
    <w:p w14:paraId="6FF05EAC" w14:textId="77777777" w:rsidR="00D92BC4" w:rsidRPr="00D92BC4" w:rsidRDefault="00D92BC4" w:rsidP="00387013">
      <w:pPr>
        <w:jc w:val="both"/>
        <w:rPr>
          <w:rFonts w:ascii="Times New Roman" w:hAnsi="Times New Roman" w:cs="Times New Roman"/>
        </w:rPr>
      </w:pPr>
    </w:p>
    <w:p w14:paraId="26313CD0" w14:textId="32038D3E" w:rsidR="00D92BC4" w:rsidRDefault="00D92BC4" w:rsidP="00387013">
      <w:pPr>
        <w:jc w:val="both"/>
      </w:pPr>
      <w:r>
        <w:br w:type="page"/>
      </w:r>
    </w:p>
    <w:p w14:paraId="3DC1CE72" w14:textId="4F19B657" w:rsidR="00D92BC4" w:rsidRPr="00D92BC4" w:rsidRDefault="00D92BC4" w:rsidP="00387013">
      <w:pPr>
        <w:pStyle w:val="Ttulo1"/>
        <w:jc w:val="both"/>
        <w:rPr>
          <w:rFonts w:ascii="Times New Roman" w:hAnsi="Times New Roman" w:cs="Times New Roman"/>
        </w:rPr>
      </w:pPr>
      <w:r w:rsidRPr="00D92BC4">
        <w:rPr>
          <w:rFonts w:ascii="Times New Roman" w:hAnsi="Times New Roman" w:cs="Times New Roman"/>
        </w:rPr>
        <w:lastRenderedPageBreak/>
        <w:t>1. Introducción</w:t>
      </w:r>
    </w:p>
    <w:p w14:paraId="2F7419AB" w14:textId="14098586"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1.1 Contexto biológico</w:t>
      </w:r>
    </w:p>
    <w:p w14:paraId="50C34BCC" w14:textId="7B3CFF09"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pandemia de SARS-CoV-2 ha puesto de manifiesto la necesidad de sistemas de vigilancia genómica capaces de anticipar la emergencia de nuevas variantes virales. Desde 2020, el virus ha experimentado una evolución acelerada impulsada por la presión selectiva de la inmunidad poblacional (natural y vacunal), generando sucesivas oleadas pandémicas dominadas por variantes con ventajas de transmisibilidad y/o evasión inmune: D614G, Alpha, Delta, </w:t>
      </w:r>
      <w:proofErr w:type="spellStart"/>
      <w:r w:rsidRPr="00D92BC4">
        <w:rPr>
          <w:rFonts w:ascii="Times New Roman" w:hAnsi="Times New Roman" w:cs="Times New Roman"/>
        </w:rPr>
        <w:t>Omicron</w:t>
      </w:r>
      <w:proofErr w:type="spellEnd"/>
      <w:r w:rsidRPr="00D92BC4">
        <w:rPr>
          <w:rFonts w:ascii="Times New Roman" w:hAnsi="Times New Roman" w:cs="Times New Roman"/>
        </w:rPr>
        <w:t xml:space="preserve"> y sus numerosos </w:t>
      </w:r>
      <w:proofErr w:type="spellStart"/>
      <w:r w:rsidRPr="00D92BC4">
        <w:rPr>
          <w:rFonts w:ascii="Times New Roman" w:hAnsi="Times New Roman" w:cs="Times New Roman"/>
        </w:rPr>
        <w:t>sublinajes</w:t>
      </w:r>
      <w:proofErr w:type="spellEnd"/>
      <w:r w:rsidRPr="00D92BC4">
        <w:rPr>
          <w:rFonts w:ascii="Times New Roman" w:hAnsi="Times New Roman" w:cs="Times New Roman"/>
        </w:rPr>
        <w:t>.</w:t>
      </w:r>
    </w:p>
    <w:p w14:paraId="1E842AC1" w14:textId="18C2205B"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vigilancia genómica convencional, basada en la secuenciación Sanger o NGS estándar (~100x de profundidad), asigna a cada muestra un único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consenso y deposita la secuencia en repositorios globales como GISAID. Este enfoque detecta variantes emergentes solo cuando alcanzan frecuencias poblacionales suficientes para ser muestreadas (típicamente &gt;1-3% de las secuencias semanales), lo que introduce un retraso inherente de semanas a meses entre la aparición real de una variante y su detección por la vigilancia.</w:t>
      </w:r>
    </w:p>
    <w:p w14:paraId="01A3B35D" w14:textId="3BC876FF"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El Ultra-Deep </w:t>
      </w:r>
      <w:proofErr w:type="spellStart"/>
      <w:r w:rsidRPr="00D92BC4">
        <w:rPr>
          <w:rFonts w:ascii="Times New Roman" w:hAnsi="Times New Roman" w:cs="Times New Roman"/>
        </w:rPr>
        <w:t>Sequencing</w:t>
      </w:r>
      <w:proofErr w:type="spellEnd"/>
      <w:r w:rsidRPr="00D92BC4">
        <w:rPr>
          <w:rFonts w:ascii="Times New Roman" w:hAnsi="Times New Roman" w:cs="Times New Roman"/>
        </w:rPr>
        <w:t xml:space="preserve"> (UDS) ofrece una perspectiva complementaria: al secuenciar cada molécula de RNA individualmente con profundidades de miles a decenas de miles de lecturas por posición, permite detectar variantes minoritarias que representan menos del 1% de la población viral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La teoría de </w:t>
      </w:r>
      <w:proofErr w:type="spellStart"/>
      <w:r w:rsidRPr="00D92BC4">
        <w:rPr>
          <w:rFonts w:ascii="Times New Roman" w:hAnsi="Times New Roman" w:cs="Times New Roman"/>
        </w:rPr>
        <w:t>cuasiespecies</w:t>
      </w:r>
      <w:proofErr w:type="spellEnd"/>
      <w:r w:rsidRPr="00D92BC4">
        <w:rPr>
          <w:rFonts w:ascii="Times New Roman" w:hAnsi="Times New Roman" w:cs="Times New Roman"/>
        </w:rPr>
        <w:t xml:space="preserve"> (Domingo &amp; Perales, 2021) predice que el espectro mutacional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cubre aproximadamente el 85% de las variaciones que posteriormente aparecerán en la población global, ya que el virus explora continuamente el espacio mutacional dentro de cada hospedador.</w:t>
      </w:r>
    </w:p>
    <w:p w14:paraId="088087AA" w14:textId="45E12AAC"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1.2 Hipótesis</w:t>
      </w:r>
    </w:p>
    <w:p w14:paraId="232921C6" w14:textId="75BC7167" w:rsidR="00D92BC4" w:rsidRPr="00D92BC4" w:rsidRDefault="00D92BC4" w:rsidP="00387013">
      <w:pPr>
        <w:jc w:val="both"/>
        <w:rPr>
          <w:rFonts w:ascii="Times New Roman" w:hAnsi="Times New Roman" w:cs="Times New Roman"/>
        </w:rPr>
      </w:pPr>
      <w:r w:rsidRPr="00D92BC4">
        <w:rPr>
          <w:rFonts w:ascii="Times New Roman" w:hAnsi="Times New Roman" w:cs="Times New Roman"/>
        </w:rPr>
        <w:t>Este trabajo parte de una hipótesis central: los haplotipos discordantes detectados por UDS en pacientes con infección activa por SARS-CoV-2</w:t>
      </w:r>
      <w:r w:rsidR="00CB4EB6" w:rsidRPr="00CB4EB6">
        <w:rPr>
          <w:rFonts w:ascii="Times New Roman" w:hAnsi="Times New Roman" w:cs="Times New Roman"/>
        </w:rPr>
        <w:t xml:space="preserve">, es decir, </w:t>
      </w:r>
      <w:r w:rsidRPr="00D92BC4">
        <w:rPr>
          <w:rFonts w:ascii="Times New Roman" w:hAnsi="Times New Roman" w:cs="Times New Roman"/>
        </w:rPr>
        <w:t xml:space="preserve">aquellos cuyas mutaciones son características de un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distinto al del aislado principal</w:t>
      </w:r>
      <w:r w:rsidR="00CB4EB6" w:rsidRPr="00CB4EB6">
        <w:rPr>
          <w:rFonts w:ascii="Times New Roman" w:hAnsi="Times New Roman" w:cs="Times New Roman"/>
        </w:rPr>
        <w:t>,</w:t>
      </w:r>
      <w:r w:rsidRPr="00D92BC4">
        <w:rPr>
          <w:rFonts w:ascii="Times New Roman" w:hAnsi="Times New Roman" w:cs="Times New Roman"/>
        </w:rPr>
        <w:t xml:space="preserve"> contienen información predictiva sobre qué variantes emergerán como dominantes en las semanas siguientes. Si esta hipótesis es correcta, la integración de datos UDS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con la dinámica poblacional global de GISAID debería mejorar la capacidad de un sistema predictivo basado en machine </w:t>
      </w:r>
      <w:proofErr w:type="spellStart"/>
      <w:r w:rsidRPr="00D92BC4">
        <w:rPr>
          <w:rFonts w:ascii="Times New Roman" w:hAnsi="Times New Roman" w:cs="Times New Roman"/>
        </w:rPr>
        <w:t>learning</w:t>
      </w:r>
      <w:proofErr w:type="spellEnd"/>
      <w:r w:rsidRPr="00D92BC4">
        <w:rPr>
          <w:rFonts w:ascii="Times New Roman" w:hAnsi="Times New Roman" w:cs="Times New Roman"/>
        </w:rPr>
        <w:t xml:space="preserve"> para identificar variantes emergentes.</w:t>
      </w:r>
    </w:p>
    <w:p w14:paraId="1A3BDF08" w14:textId="05E7E93C" w:rsidR="00D92BC4" w:rsidRPr="00F54A14" w:rsidRDefault="00D92BC4" w:rsidP="00387013">
      <w:pPr>
        <w:pStyle w:val="Ttulo2"/>
        <w:jc w:val="both"/>
        <w:rPr>
          <w:rFonts w:ascii="Times New Roman" w:hAnsi="Times New Roman" w:cs="Times New Roman"/>
        </w:rPr>
      </w:pPr>
      <w:r w:rsidRPr="00F54A14">
        <w:rPr>
          <w:rFonts w:ascii="Times New Roman" w:hAnsi="Times New Roman" w:cs="Times New Roman"/>
        </w:rPr>
        <w:t>1.3 Objetivos</w:t>
      </w:r>
    </w:p>
    <w:p w14:paraId="5DC95109" w14:textId="0F36BA1D"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Construir un sistema de predicción de variantes emergentes de SARS-CoV-2 basado en machine </w:t>
      </w:r>
      <w:proofErr w:type="spellStart"/>
      <w:r w:rsidRPr="00F54A14">
        <w:rPr>
          <w:rFonts w:ascii="Times New Roman" w:hAnsi="Times New Roman" w:cs="Times New Roman"/>
        </w:rPr>
        <w:t>learning</w:t>
      </w:r>
      <w:proofErr w:type="spellEnd"/>
      <w:r w:rsidRPr="00F54A14">
        <w:rPr>
          <w:rFonts w:ascii="Times New Roman" w:hAnsi="Times New Roman" w:cs="Times New Roman"/>
        </w:rPr>
        <w:t>, entrenado con datos de vigilancia genómica global (GISAID).</w:t>
      </w:r>
    </w:p>
    <w:p w14:paraId="164276EC" w14:textId="0ED8F28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Cuantificar la contribución de los datos de Ultra-Deep </w:t>
      </w:r>
      <w:proofErr w:type="spellStart"/>
      <w:r w:rsidRPr="00F54A14">
        <w:rPr>
          <w:rFonts w:ascii="Times New Roman" w:hAnsi="Times New Roman" w:cs="Times New Roman"/>
        </w:rPr>
        <w:t>Sequencing</w:t>
      </w:r>
      <w:proofErr w:type="spellEnd"/>
      <w:r w:rsidRPr="00F54A14">
        <w:rPr>
          <w:rFonts w:ascii="Times New Roman" w:hAnsi="Times New Roman" w:cs="Times New Roman"/>
        </w:rPr>
        <w:t xml:space="preserve">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al rendimiento predictivo del modelo.</w:t>
      </w:r>
    </w:p>
    <w:p w14:paraId="22276F77" w14:textId="5DEBE09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Validar la capacidad del UDS como sistema de alerta temprana mediante el cálculo del lead-time entre la detección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y la emergencia poblacional.</w:t>
      </w:r>
    </w:p>
    <w:p w14:paraId="2A2491E2" w14:textId="57FD4B50"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Evaluar la coherencia biológica de las predicciones del modelo mediante análisis de interpretabilidad SHAP.</w:t>
      </w:r>
    </w:p>
    <w:p w14:paraId="320C447E" w14:textId="1BAC56F7"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lastRenderedPageBreak/>
        <w:t>Realizar una validación prospectiva real del sistema con datos de febrero–</w:t>
      </w:r>
      <w:r w:rsidRPr="00DE4887">
        <w:rPr>
          <w:rFonts w:ascii="Times New Roman" w:hAnsi="Times New Roman" w:cs="Times New Roman"/>
          <w:szCs w:val="36"/>
        </w:rPr>
        <w:t>abril</w:t>
      </w:r>
      <w:r w:rsidRPr="00F54A14">
        <w:rPr>
          <w:rFonts w:ascii="Times New Roman" w:hAnsi="Times New Roman" w:cs="Times New Roman"/>
        </w:rPr>
        <w:t xml:space="preserve"> de 2026.</w:t>
      </w:r>
    </w:p>
    <w:p w14:paraId="6D21BD12" w14:textId="77777777" w:rsidR="00AB4DFB" w:rsidRPr="00AB4DFB" w:rsidRDefault="00AB4DFB" w:rsidP="00387013">
      <w:pPr>
        <w:jc w:val="both"/>
        <w:rPr>
          <w:rFonts w:ascii="Times New Roman" w:hAnsi="Times New Roman" w:cs="Times New Roman"/>
        </w:rPr>
      </w:pPr>
    </w:p>
    <w:p w14:paraId="4D4E45AF" w14:textId="5CE275B4" w:rsidR="00AB4DFB" w:rsidRDefault="00AB4DFB" w:rsidP="00387013">
      <w:pPr>
        <w:jc w:val="both"/>
      </w:pPr>
      <w:r>
        <w:br w:type="page"/>
      </w:r>
    </w:p>
    <w:p w14:paraId="406E3F64" w14:textId="6082AF5A" w:rsidR="00AB4DFB" w:rsidRPr="00AB4DFB" w:rsidRDefault="00AB4DFB" w:rsidP="00387013">
      <w:pPr>
        <w:pStyle w:val="Ttulo1"/>
        <w:jc w:val="both"/>
        <w:rPr>
          <w:rFonts w:ascii="Times New Roman" w:hAnsi="Times New Roman" w:cs="Times New Roman"/>
        </w:rPr>
      </w:pPr>
      <w:r w:rsidRPr="00AB4DFB">
        <w:rPr>
          <w:rFonts w:ascii="Times New Roman" w:hAnsi="Times New Roman" w:cs="Times New Roman"/>
        </w:rPr>
        <w:lastRenderedPageBreak/>
        <w:t>2. Materiales y datos</w:t>
      </w:r>
    </w:p>
    <w:p w14:paraId="2F397EF6" w14:textId="4BC866E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2.1 GISAID: base de conocimiento global</w:t>
      </w:r>
    </w:p>
    <w:p w14:paraId="7042B911" w14:textId="2B482628" w:rsidR="00AB4DFB" w:rsidRPr="00AB4DFB" w:rsidRDefault="00AB4DFB" w:rsidP="00387013">
      <w:pPr>
        <w:jc w:val="both"/>
        <w:rPr>
          <w:rFonts w:ascii="Times New Roman" w:hAnsi="Times New Roman" w:cs="Times New Roman"/>
        </w:rPr>
      </w:pPr>
      <w:r w:rsidRPr="00AB4DFB">
        <w:rPr>
          <w:rFonts w:ascii="Times New Roman" w:hAnsi="Times New Roman" w:cs="Times New Roman"/>
        </w:rPr>
        <w:t>La fuente principal de datos son 17,15 millones de secuencias genómicas de SARS-CoV-2 depositadas en GISAID hasta febrero de 2026 (322 semanas, diciembre 2019 – febrero 2026). De cada secuencia se extraen: fecha de colección, país de origen, clado Nextclade, linaje Pango y las sustituciones aminoacídicas respecto al genoma de referencia Wuhan (campo AA Substitutions). Los 17,15M de secuencias contienen 4.883 linajes Pango únicos que se agrupan en dos niveles de granularidad: (1) 19 grupos Nextclade con datos representativos (de los 51 clados nombrados 19A–25C) y (2) 448 familias Pango (prefijo raíz del nombre: XFG, JN, BA, KP...). El volumen de datos permite estimar frecuencias de circulación y perfiles mutacionales con resolución semanal y resolución geográfica de hasta 195 países.</w:t>
      </w:r>
      <w:proofErr w:type="spellStart"/>
      <w:r w:rsidRPr="00AB4DFB">
        <w:rPr>
          <w:rFonts w:ascii="Times New Roman" w:hAnsi="Times New Roman" w:cs="Times New Roman"/>
        </w:rPr>
      </w:r>
      <w:proofErr w:type="spellEnd"/>
      <w:r w:rsidRPr="00AB4DFB">
        <w:rPr>
          <w:rFonts w:ascii="Times New Roman" w:hAnsi="Times New Roman" w:cs="Times New Roman"/>
        </w:rPr>
      </w:r>
      <w:proofErr w:type="spellStart"/>
      <w:r w:rsidRPr="00AB4DFB">
        <w:rPr>
          <w:rFonts w:ascii="Times New Roman" w:hAnsi="Times New Roman" w:cs="Times New Roman"/>
        </w:rPr>
      </w:r>
      <w:proofErr w:type="spellEnd"/>
      <w:r w:rsidRPr="00AB4DFB">
        <w:rPr>
          <w:rFonts w:ascii="Times New Roman" w:hAnsi="Times New Roman" w:cs="Times New Roman"/>
        </w:rPr>
      </w:r>
    </w:p>
    <w:p w14:paraId="5710782C" w14:textId="22526FB3"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El volumen de datos no es arbitrario: el SARS-CoV-2 circula simultáneamente en cientos de variantes en todo el mundo, y para identificar qué patrones en la evolución genómica predicen la dominancia futura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se necesita observar el comportamiento real de cientos de clados a lo largo de cinco años de pandemia, en decenas de países, semana a semana. Los archivos originales superan los 5 GB y se procesan en </w:t>
      </w:r>
      <w:proofErr w:type="spellStart"/>
      <w:r w:rsidRPr="00AB4DFB">
        <w:rPr>
          <w:rFonts w:ascii="Times New Roman" w:hAnsi="Times New Roman" w:cs="Times New Roman"/>
        </w:rPr>
        <w:t>streaming</w:t>
      </w:r>
      <w:proofErr w:type="spellEnd"/>
      <w:r w:rsidRPr="00AB4DFB">
        <w:rPr>
          <w:rFonts w:ascii="Times New Roman" w:hAnsi="Times New Roman" w:cs="Times New Roman"/>
        </w:rPr>
        <w:t xml:space="preserve"> (bloques de 1.000 secuencias) mediante alineamiento contra la referencia Wuhan-Hu-1, generando matrices de frecuencia de mutaciones aminoacídicas por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y semana almacenadas en formato Parquet.</w:t>
      </w:r>
    </w:p>
    <w:p w14:paraId="75FABC4F" w14:textId="2F1714D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 xml:space="preserve">2.2 Ultra-Deep </w:t>
      </w:r>
      <w:proofErr w:type="spellStart"/>
      <w:r w:rsidRPr="00AB4DFB">
        <w:rPr>
          <w:rFonts w:ascii="Times New Roman" w:hAnsi="Times New Roman" w:cs="Times New Roman"/>
        </w:rPr>
        <w:t>Sequencing</w:t>
      </w:r>
      <w:proofErr w:type="spellEnd"/>
      <w:r w:rsidRPr="00AB4DFB">
        <w:rPr>
          <w:rFonts w:ascii="Times New Roman" w:hAnsi="Times New Roman" w:cs="Times New Roman"/>
        </w:rPr>
        <w:t xml:space="preserve"> (UDS): ventana </w:t>
      </w:r>
      <w:proofErr w:type="spellStart"/>
      <w:r w:rsidRPr="00AB4DFB">
        <w:rPr>
          <w:rFonts w:ascii="Times New Roman" w:hAnsi="Times New Roman" w:cs="Times New Roman"/>
        </w:rPr>
        <w:t>intrapaciente</w:t>
      </w:r>
      <w:proofErr w:type="spellEnd"/>
    </w:p>
    <w:p w14:paraId="75699BAB" w14:textId="5ADB9B15"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segunda fuente de datos son 28 pacientes del estudio de UDS (2020–2023) con infección activa por SARS-CoV-2, procesados a partir del archivo Excel </w:t>
      </w:r>
      <w:r w:rsidR="00173607" w:rsidRPr="00173607">
        <w:rPr>
          <w:rFonts w:ascii="Times New Roman" w:hAnsi="Times New Roman" w:cs="Times New Roman"/>
        </w:rPr>
        <w:t xml:space="preserve">que contiene los haplotipos discordantes de </w:t>
      </w:r>
      <w:proofErr w:type="spellStart"/>
      <w:r w:rsidR="00173607" w:rsidRPr="00173607">
        <w:rPr>
          <w:rFonts w:ascii="Times New Roman" w:hAnsi="Times New Roman" w:cs="Times New Roman"/>
        </w:rPr>
        <w:t>clado</w:t>
      </w:r>
      <w:proofErr w:type="spellEnd"/>
      <w:r w:rsidR="00173607" w:rsidRPr="00173607">
        <w:rPr>
          <w:rFonts w:ascii="Times New Roman" w:hAnsi="Times New Roman" w:cs="Times New Roman"/>
        </w:rPr>
        <w:t>, actualizado a</w:t>
      </w:r>
      <w:r w:rsidR="00EC08D5">
        <w:rPr>
          <w:rFonts w:ascii="Times New Roman" w:hAnsi="Times New Roman" w:cs="Times New Roman"/>
        </w:rPr>
        <w:t xml:space="preserve"> febrero de 2026</w:t>
      </w:r>
      <w:r w:rsidRPr="00AB4DFB">
        <w:rPr>
          <w:rFonts w:ascii="Times New Roman" w:hAnsi="Times New Roman" w:cs="Times New Roman"/>
        </w:rPr>
        <w:t xml:space="preserve">. El UDS secuencia cada molécula de RNA individualmente con profundidades de cobertura de miles a decenas de miles de lecturas por posición, frente a las ~100x habituales de la secuenciación estándar. Esto permite detectar variantes virales que representan menos del 1% de la población viral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w:t>
      </w:r>
    </w:p>
    <w:p w14:paraId="1AE69083" w14:textId="0B641C19"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De cada paciente se extraen los haplotipos discordantes: aquellos cuyas mutaciones son características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xml:space="preserve"> distinto al del aislado principal. Cada haplotipo se caracteriza por su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predicho (</w:t>
      </w:r>
      <w:proofErr w:type="spellStart"/>
      <w:r w:rsidRPr="00AB4DFB">
        <w:rPr>
          <w:rFonts w:ascii="Times New Roman" w:hAnsi="Times New Roman" w:cs="Times New Roman"/>
        </w:rPr>
        <w:t>discordant_clade</w:t>
      </w:r>
      <w:proofErr w:type="spellEnd"/>
      <w:r w:rsidRPr="00AB4DFB">
        <w:rPr>
          <w:rFonts w:ascii="Times New Roman" w:hAnsi="Times New Roman" w:cs="Times New Roman"/>
        </w:rPr>
        <w:t xml:space="preserve">), su frecuencia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frequency_pct</w:t>
      </w:r>
      <w:proofErr w:type="spellEnd"/>
      <w:r w:rsidRPr="00AB4DFB">
        <w:rPr>
          <w:rFonts w:ascii="Times New Roman" w:hAnsi="Times New Roman" w:cs="Times New Roman"/>
        </w:rPr>
        <w:t xml:space="preserve">, típicamente 1–5%) y la métrica clave del estudio: el lead-time, definido como la diferencia en semanas entre la detección del haplotipo en el paciente y el momento en que ese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alcanzó ≥3% de frecuencia global en GISAID.</w:t>
      </w:r>
    </w:p>
    <w:p w14:paraId="21AC2A56" w14:textId="22C1272E" w:rsidR="00AB4DFB" w:rsidRPr="00AB4DFB" w:rsidRDefault="00AB4DFB" w:rsidP="00387013">
      <w:pPr>
        <w:jc w:val="both"/>
        <w:rPr>
          <w:rFonts w:ascii="Times New Roman" w:hAnsi="Times New Roman" w:cs="Times New Roman"/>
        </w:rPr>
      </w:pPr>
      <w:r w:rsidRPr="00AB4DFB">
        <w:rPr>
          <w:rFonts w:ascii="Times New Roman" w:hAnsi="Times New Roman" w:cs="Times New Roman"/>
        </w:rPr>
        <w:t>A partir de estos datos se calcula el IPE score (Índice de Predicción Epidémica), una puntuación ponderada basada en la importancia del haplotipo según prioridades definidas por expertos clínicos (P1–P3), que cuantifica la señal de alerta temprana de cada paciente.</w:t>
      </w:r>
    </w:p>
    <w:p w14:paraId="37434425" w14:textId="77777777" w:rsidR="009A1D02" w:rsidRPr="009A1D02" w:rsidRDefault="009A1D02" w:rsidP="00387013">
      <w:pPr>
        <w:jc w:val="both"/>
        <w:rPr>
          <w:rFonts w:ascii="Times New Roman" w:hAnsi="Times New Roman" w:cs="Times New Roman"/>
        </w:rPr>
      </w:pPr>
    </w:p>
    <w:p w14:paraId="76CA628A" w14:textId="758C3F09" w:rsidR="009A1D02" w:rsidRDefault="009A1D02" w:rsidP="00387013">
      <w:pPr>
        <w:jc w:val="both"/>
      </w:pPr>
      <w:r>
        <w:br w:type="page"/>
      </w:r>
    </w:p>
    <w:p w14:paraId="2C8C4DD2" w14:textId="1D924895" w:rsidR="009A1D02" w:rsidRPr="009A1D02" w:rsidRDefault="009A1D02" w:rsidP="00387013">
      <w:pPr>
        <w:pStyle w:val="Ttulo1"/>
        <w:jc w:val="both"/>
        <w:rPr>
          <w:rFonts w:ascii="Times New Roman" w:hAnsi="Times New Roman" w:cs="Times New Roman"/>
        </w:rPr>
      </w:pPr>
      <w:r w:rsidRPr="009A1D02">
        <w:rPr>
          <w:rFonts w:ascii="Times New Roman" w:hAnsi="Times New Roman" w:cs="Times New Roman"/>
        </w:rPr>
        <w:lastRenderedPageBreak/>
        <w:t>3. Metodología</w:t>
      </w:r>
    </w:p>
    <w:p w14:paraId="1C6DD681" w14:textId="3CCAD45A" w:rsidR="009A1D02" w:rsidRPr="009A1D02" w:rsidRDefault="009A1D02" w:rsidP="00387013">
      <w:pPr>
        <w:pStyle w:val="Ttulo2"/>
        <w:jc w:val="both"/>
        <w:rPr>
          <w:rFonts w:ascii="Times New Roman" w:hAnsi="Times New Roman" w:cs="Times New Roman"/>
        </w:rPr>
      </w:pPr>
      <w:r w:rsidRPr="009A1D02">
        <w:rPr>
          <w:rFonts w:ascii="Times New Roman" w:hAnsi="Times New Roman" w:cs="Times New Roman"/>
        </w:rPr>
        <w:t xml:space="preserve">3.1 </w:t>
      </w:r>
      <w:proofErr w:type="spellStart"/>
      <w:r w:rsidRPr="009A1D02">
        <w:rPr>
          <w:rFonts w:ascii="Times New Roman" w:hAnsi="Times New Roman" w:cs="Times New Roman"/>
        </w:rPr>
        <w:t>Feature</w:t>
      </w:r>
      <w:proofErr w:type="spellEnd"/>
      <w:r w:rsidRPr="009A1D02">
        <w:rPr>
          <w:rFonts w:ascii="Times New Roman" w:hAnsi="Times New Roman" w:cs="Times New Roman"/>
        </w:rPr>
        <w:t xml:space="preserve"> </w:t>
      </w:r>
      <w:proofErr w:type="spellStart"/>
      <w:r w:rsidRPr="009A1D02">
        <w:rPr>
          <w:rFonts w:ascii="Times New Roman" w:hAnsi="Times New Roman" w:cs="Times New Roman"/>
        </w:rPr>
        <w:t>engineering</w:t>
      </w:r>
      <w:proofErr w:type="spellEnd"/>
    </w:p>
    <w:p w14:paraId="00D0DBBE" w14:textId="27E18753" w:rsidR="009A1D02" w:rsidRPr="009A1D02" w:rsidRDefault="009A1D02" w:rsidP="00387013">
      <w:pPr>
        <w:jc w:val="both"/>
        <w:rPr>
          <w:rFonts w:ascii="Times New Roman" w:hAnsi="Times New Roman" w:cs="Times New Roman"/>
        </w:rPr>
      </w:pPr>
      <w:r w:rsidRPr="009A1D02">
        <w:rPr>
          <w:rFonts w:ascii="Times New Roman" w:hAnsi="Times New Roman" w:cs="Times New Roman"/>
        </w:rPr>
        <w:t>La unidad de análisis es el par (linaje, semana): un linaje concreto en una semana concreta. Para cada par, el modelo responde: ¿crecerá este linaje ≥50% en términos de frecuencia global Y superará el 0,5% de prevalencia en las próximas 4 semanas? El umbral del 0,5% evita predecir el crecimiento de linajes con 1-2 secuencias (ruido estadístico). El horizonte de 4 semanas y la ventana histórica de 8 semanas definen el espacio temporal del problema.</w:t>
      </w:r>
      <w:proofErr w:type="spellStart"/>
      <w:r w:rsidRPr="009A1D02">
        <w:rPr>
          <w:rFonts w:ascii="Times New Roman" w:hAnsi="Times New Roman" w:cs="Times New Roman"/>
        </w:rPr>
      </w:r>
      <w:proofErr w:type="spellEnd"/>
      <w:r w:rsidRPr="009A1D02">
        <w:rPr>
          <w:rFonts w:ascii="Times New Roman" w:hAnsi="Times New Roman" w:cs="Times New Roman"/>
        </w:rPr>
      </w:r>
      <w:proofErr w:type="spellStart"/>
      <w:r w:rsidRPr="009A1D02">
        <w:rPr>
          <w:rFonts w:ascii="Times New Roman" w:hAnsi="Times New Roman" w:cs="Times New Roman"/>
        </w:rPr>
      </w:r>
      <w:proofErr w:type="spellEnd"/>
      <w:r w:rsidRPr="009A1D02">
        <w:rPr>
          <w:rFonts w:ascii="Times New Roman" w:hAnsi="Times New Roman" w:cs="Times New Roman"/>
        </w:rPr>
      </w:r>
      <w:r w:rsidR="00205D68" w:rsidRPr="00205D68">
        <w:rPr>
          <w:rFonts w:ascii="Times New Roman" w:hAnsi="Times New Roman" w:cs="Times New Roman"/>
        </w:rPr>
      </w:r>
      <w:proofErr w:type="spellStart"/>
      <w:r w:rsidR="00205D68" w:rsidRPr="00205D68">
        <w:rPr>
          <w:rFonts w:ascii="Times New Roman" w:hAnsi="Times New Roman" w:cs="Times New Roman"/>
        </w:rPr>
      </w:r>
      <w:proofErr w:type="spellEnd"/>
      <w:r w:rsidR="00205D68" w:rsidRPr="00205D68">
        <w:rPr>
          <w:rFonts w:ascii="Times New Roman" w:hAnsi="Times New Roman" w:cs="Times New Roman"/>
        </w:rPr>
      </w:r>
      <w:r w:rsidR="00205D68">
        <w:rPr>
          <w:rFonts w:ascii="Times New Roman" w:hAnsi="Times New Roman" w:cs="Times New Roman"/>
        </w:rPr>
      </w:r>
      <w:r w:rsidRPr="009A1D02">
        <w:rPr>
          <w:rFonts w:ascii="Times New Roman" w:hAnsi="Times New Roman" w:cs="Times New Roman"/>
        </w:rPr>
      </w:r>
    </w:p>
    <w:p w14:paraId="01F603DF" w14:textId="77777777" w:rsidR="007F1EAA" w:rsidRDefault="009A1D02" w:rsidP="00387013">
      <w:pPr>
        <w:jc w:val="both"/>
        <w:rPr>
          <w:rFonts w:ascii="Times New Roman" w:hAnsi="Times New Roman" w:cs="Times New Roman"/>
        </w:rPr>
      </w:pPr>
      <w:r w:rsidRPr="009A1D02">
        <w:rPr>
          <w:rFonts w:ascii="Times New Roman" w:hAnsi="Times New Roman" w:cs="Times New Roman"/>
        </w:rPr>
        <w:t>Se calculan dos conjuntos de features. El Modelo 1 usa 13 features temporales derivadas de la trayectoria de frecuencia en las últimas 8 semanas: frecuencias históricas (freq_t0, freq_4w_ago, freq_2w_ago, freq_mean_8w, freq_std_8w), tendencias (slope_8w, slope_4w, accel), contexto de actividad (n_active_8w, age_weeks, peak_hist) y diversidad geográfica (n_countries, geo_growth). El Modelo 2 extiende estas 13 con 2 features geográficas adicionales (entropia_geo, velocidad_expansion) y 30 features mutacionales: para cada mutación seleccionada, la fracción de secuencias de esa familia concreta que la portaban esa semana. Las 30 mutaciones se eligen por máxima varianza temporal en el periodo de entrenamiento (anti-leakage).</w:t>
      </w:r>
      <w:proofErr w:type="spellStart"/>
      <w:r w:rsidRPr="009A1D02">
        <w:rPr>
          <w:rFonts w:ascii="Times New Roman" w:hAnsi="Times New Roman" w:cs="Times New Roman"/>
        </w:rPr>
      </w:r>
      <w:proofErr w:type="spellEnd"/>
      <w:r w:rsidRPr="009A1D02">
        <w:rPr>
          <w:rFonts w:ascii="Times New Roman" w:hAnsi="Times New Roman" w:cs="Times New Roman"/>
        </w:rPr>
      </w:r>
    </w:p>
    <w:p w14:paraId="27515D7E" w14:textId="2D08B3B3" w:rsidR="00EA7E4F" w:rsidRPr="000A1FB6" w:rsidRDefault="00EA7E4F" w:rsidP="00EA7E4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1</w:t>
      </w:r>
      <w:r w:rsidRPr="000A1FB6">
        <w:rPr>
          <w:rFonts w:ascii="Times New Roman" w:hAnsi="Times New Roman" w:cs="Times New Roman"/>
        </w:rPr>
        <w:fldChar w:fldCharType="end"/>
      </w:r>
      <w:r w:rsidRPr="000A1FB6">
        <w:rPr>
          <w:rFonts w:ascii="Times New Roman" w:hAnsi="Times New Roman" w:cs="Times New Roman"/>
        </w:rPr>
        <w:t xml:space="preserve"> - Grupos de variables del modelo predictivo.</w:t>
      </w:r>
    </w:p>
    <w:tbl>
      <w:tblPr>
        <w:tblStyle w:val="Tablaconcuadrcula"/>
        <w:tblW w:w="8599" w:type="dxa"/>
        <w:tblLook w:val="04A0" w:firstRow="1" w:lastRow="0" w:firstColumn="1" w:lastColumn="0" w:noHBand="0" w:noVBand="1"/>
      </w:tblPr>
      <w:tblGrid>
        <w:gridCol w:w="2866"/>
        <w:gridCol w:w="2866"/>
        <w:gridCol w:w="2867"/>
      </w:tblGrid>
      <w:tr w:rsidR="00C64F68" w14:paraId="0248E59E" w14:textId="77777777" w:rsidTr="00E361DB">
        <w:trPr>
          <w:trHeight w:val="639"/>
        </w:trPr>
        <w:tc>
          <w:tcPr>
            <w:tcW w:w="2866" w:type="dxa"/>
          </w:tcPr>
          <w:p w14:paraId="6A8BBDD4" w14:textId="06CC9883"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Grupo</w:t>
            </w:r>
          </w:p>
        </w:tc>
        <w:tc>
          <w:tcPr>
            <w:tcW w:w="2866" w:type="dxa"/>
          </w:tcPr>
          <w:p w14:paraId="785ADC85" w14:textId="23C78C66" w:rsidR="00C64F68" w:rsidRPr="00E361DB" w:rsidRDefault="00864469" w:rsidP="00E361DB">
            <w:pPr>
              <w:rPr>
                <w:rFonts w:ascii="Times New Roman" w:hAnsi="Times New Roman" w:cs="Times New Roman"/>
                <w:b/>
                <w:szCs w:val="32"/>
              </w:rPr>
            </w:pPr>
            <w:r w:rsidRPr="00E361DB">
              <w:rPr>
                <w:rFonts w:ascii="Times New Roman" w:hAnsi="Times New Roman" w:cs="Times New Roman"/>
                <w:b/>
                <w:szCs w:val="32"/>
              </w:rPr>
              <w:t>Variables</w:t>
            </w:r>
          </w:p>
          <w:p w14:paraId="0DFE5665" w14:textId="1F93FBB7" w:rsidR="00C64F68" w:rsidRPr="00E361DB" w:rsidRDefault="00C64F68" w:rsidP="00E361DB">
            <w:pPr>
              <w:rPr>
                <w:rFonts w:ascii="Times New Roman" w:hAnsi="Times New Roman" w:cs="Times New Roman"/>
                <w:b/>
                <w:szCs w:val="32"/>
              </w:rPr>
            </w:pPr>
          </w:p>
        </w:tc>
        <w:tc>
          <w:tcPr>
            <w:tcW w:w="2867" w:type="dxa"/>
          </w:tcPr>
          <w:p w14:paraId="71451523" w14:textId="100D96E8"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Descripción</w:t>
            </w:r>
          </w:p>
        </w:tc>
      </w:tr>
      <w:tr w:rsidR="00C64F68" w14:paraId="49496319" w14:textId="77777777" w:rsidTr="00E361DB">
        <w:trPr>
          <w:trHeight w:val="1296"/>
        </w:trPr>
        <w:tc>
          <w:tcPr>
            <w:tcW w:w="2866" w:type="dxa"/>
          </w:tcPr>
          <w:p w14:paraId="419D824A" w14:textId="7463074A"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Temporales (14)</w:t>
            </w:r>
          </w:p>
        </w:tc>
        <w:tc>
          <w:tcPr>
            <w:tcW w:w="2866" w:type="dxa"/>
          </w:tcPr>
          <w:p w14:paraId="529C2AF3" w14:textId="161B86E4"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 xml:space="preserve">freq_t0, slope_4w/8w, </w:t>
            </w:r>
            <w:proofErr w:type="spellStart"/>
            <w:r w:rsidRPr="00E361DB">
              <w:rPr>
                <w:rFonts w:ascii="Times New Roman" w:hAnsi="Times New Roman" w:cs="Times New Roman"/>
                <w:szCs w:val="32"/>
              </w:rPr>
              <w:t>accel</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freq_mean</w:t>
            </w:r>
            <w:proofErr w:type="spellEnd"/>
            <w:r w:rsidRPr="00E361DB">
              <w:rPr>
                <w:rFonts w:ascii="Times New Roman" w:hAnsi="Times New Roman" w:cs="Times New Roman"/>
                <w:szCs w:val="32"/>
              </w:rPr>
              <w:t xml:space="preserve">/std_8w, n_active_8w, </w:t>
            </w:r>
            <w:proofErr w:type="spellStart"/>
            <w:r w:rsidRPr="00E361DB">
              <w:rPr>
                <w:rFonts w:ascii="Times New Roman" w:hAnsi="Times New Roman" w:cs="Times New Roman"/>
                <w:szCs w:val="32"/>
              </w:rPr>
              <w:t>age_weeks</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peak_hist</w:t>
            </w:r>
            <w:proofErr w:type="spellEnd"/>
            <w:r w:rsidRPr="00E361DB">
              <w:rPr>
                <w:rFonts w:ascii="Times New Roman" w:hAnsi="Times New Roman" w:cs="Times New Roman"/>
                <w:szCs w:val="32"/>
              </w:rPr>
              <w:t>, etc.</w:t>
            </w:r>
          </w:p>
        </w:tc>
        <w:tc>
          <w:tcPr>
            <w:tcW w:w="2867" w:type="dxa"/>
          </w:tcPr>
          <w:p w14:paraId="4C28837E" w14:textId="3912869C"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Trayectoria dinámica: frecuencia actual, velocidad y aceleración de crecimiento, persistencia temporal.</w:t>
            </w:r>
          </w:p>
        </w:tc>
      </w:tr>
      <w:tr w:rsidR="00C64F68" w14:paraId="01C7010F" w14:textId="77777777" w:rsidTr="00E361DB">
        <w:trPr>
          <w:trHeight w:val="639"/>
        </w:trPr>
        <w:tc>
          <w:tcPr>
            <w:tcW w:w="2866" w:type="dxa"/>
          </w:tcPr>
          <w:p w14:paraId="1F6B8642" w14:textId="16C2E7D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Geográficas (3)</w:t>
            </w:r>
          </w:p>
        </w:tc>
        <w:tc>
          <w:tcPr>
            <w:tcW w:w="2866" w:type="dxa"/>
          </w:tcPr>
          <w:p w14:paraId="7B0A5316" w14:textId="4E44DC6D" w:rsidR="00C64F68" w:rsidRPr="00E361DB" w:rsidRDefault="00C64F68" w:rsidP="00E361DB">
            <w:pPr>
              <w:rPr>
                <w:rFonts w:ascii="Times New Roman" w:hAnsi="Times New Roman" w:cs="Times New Roman"/>
                <w:szCs w:val="32"/>
              </w:rPr>
            </w:pPr>
            <w:proofErr w:type="spellStart"/>
            <w:r w:rsidRPr="00E361DB">
              <w:rPr>
                <w:rFonts w:ascii="Times New Roman" w:hAnsi="Times New Roman" w:cs="Times New Roman"/>
                <w:szCs w:val="32"/>
              </w:rPr>
              <w:t>n_countries_now</w:t>
            </w:r>
            <w:proofErr w:type="spellEnd"/>
            <w:r w:rsidRPr="00E361DB">
              <w:rPr>
                <w:rFonts w:ascii="Times New Roman" w:hAnsi="Times New Roman" w:cs="Times New Roman"/>
                <w:szCs w:val="32"/>
              </w:rPr>
              <w:t xml:space="preserve">, n_countries_4w, </w:t>
            </w:r>
            <w:proofErr w:type="spellStart"/>
            <w:r w:rsidRPr="00E361DB">
              <w:rPr>
                <w:rFonts w:ascii="Times New Roman" w:hAnsi="Times New Roman" w:cs="Times New Roman"/>
                <w:szCs w:val="32"/>
              </w:rPr>
              <w:t>geo_growth</w:t>
            </w:r>
            <w:proofErr w:type="spellEnd"/>
          </w:p>
        </w:tc>
        <w:tc>
          <w:tcPr>
            <w:tcW w:w="2867" w:type="dxa"/>
          </w:tcPr>
          <w:p w14:paraId="56226D46" w14:textId="42C919B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Dispersión geográfica actual y su expansión activa.</w:t>
            </w:r>
          </w:p>
        </w:tc>
      </w:tr>
      <w:tr w:rsidR="00C64F68" w14:paraId="11B924FC" w14:textId="77777777" w:rsidTr="00E361DB">
        <w:trPr>
          <w:trHeight w:val="1279"/>
        </w:trPr>
        <w:tc>
          <w:tcPr>
            <w:tcW w:w="2866" w:type="dxa"/>
          </w:tcPr>
          <w:p w14:paraId="4A803BC5" w14:textId="37EC4C56"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Mutacionales (80)</w:t>
            </w:r>
          </w:p>
        </w:tc>
        <w:tc>
          <w:tcPr>
            <w:tcW w:w="2866" w:type="dxa"/>
          </w:tcPr>
          <w:p w14:paraId="3481CB90" w14:textId="7F394453"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Variables binarias (1/0) por mutación</w:t>
            </w:r>
          </w:p>
        </w:tc>
        <w:tc>
          <w:tcPr>
            <w:tcW w:w="2867" w:type="dxa"/>
          </w:tcPr>
          <w:p w14:paraId="726B195E" w14:textId="52FF1020"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Las 80 mutaciones aminoacídicas con mayor varianza temporal en GISAID, en Spike y NSP12.</w:t>
            </w:r>
          </w:p>
        </w:tc>
      </w:tr>
    </w:tbl>
    <w:p w14:paraId="0DE697D4" w14:textId="625B6818"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3.2 Algoritmo de aprendizaje: </w:t>
      </w:r>
      <w:proofErr w:type="spellStart"/>
      <w:r w:rsidRPr="00C64F68">
        <w:rPr>
          <w:rFonts w:ascii="Times New Roman" w:hAnsi="Times New Roman" w:cs="Times New Roman"/>
        </w:rPr>
        <w:t>LightGBM</w:t>
      </w:r>
      <w:proofErr w:type="spellEnd"/>
    </w:p>
    <w:p w14:paraId="32D2E0BD" w14:textId="040D3EF0"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El modelo seleccionado es </w:t>
      </w:r>
      <w:proofErr w:type="spellStart"/>
      <w:r w:rsidRPr="00C64F68">
        <w:rPr>
          <w:rFonts w:ascii="Times New Roman" w:hAnsi="Times New Roman" w:cs="Times New Roman"/>
        </w:rPr>
        <w:t>LightGBM</w:t>
      </w:r>
      <w:proofErr w:type="spellEnd"/>
      <w:r w:rsidRPr="00C64F68">
        <w:rPr>
          <w:rFonts w:ascii="Times New Roman" w:hAnsi="Times New Roman" w:cs="Times New Roman"/>
        </w:rPr>
        <w:t xml:space="preserve"> (Light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Machine), un algoritmo de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sobre árboles de decisión que construye cientos de árboles secuenciales donde cada uno corrige los errores del anterior. Las ventajas para este problema son: (i) manejo nativo de datos heterogéneos sin necesidad de </w:t>
      </w:r>
      <w:proofErr w:type="spellStart"/>
      <w:r w:rsidRPr="00C64F68">
        <w:rPr>
          <w:rFonts w:ascii="Times New Roman" w:hAnsi="Times New Roman" w:cs="Times New Roman"/>
        </w:rPr>
        <w:t>normalizació</w:t>
      </w:r>
      <w:proofErr w:type="spellEnd"/>
      <w:r w:rsidR="004079C8">
        <w:rPr>
          <w:rFonts w:ascii="Times New Roman" w:hAnsi="Times New Roman" w:cs="Times New Roman"/>
        </w:rPr>
        <w:t xml:space="preserve">, </w:t>
      </w:r>
      <w:r w:rsidRPr="00C64F68">
        <w:rPr>
          <w:rFonts w:ascii="Times New Roman" w:hAnsi="Times New Roman" w:cs="Times New Roman"/>
        </w:rPr>
        <w:t>(</w:t>
      </w:r>
      <w:proofErr w:type="spellStart"/>
      <w:r w:rsidRPr="00C64F68">
        <w:rPr>
          <w:rFonts w:ascii="Times New Roman" w:hAnsi="Times New Roman" w:cs="Times New Roman"/>
        </w:rPr>
        <w:t>ii</w:t>
      </w:r>
      <w:proofErr w:type="spellEnd"/>
      <w:r w:rsidRPr="00C64F68">
        <w:rPr>
          <w:rFonts w:ascii="Times New Roman" w:hAnsi="Times New Roman" w:cs="Times New Roman"/>
        </w:rPr>
        <w:t>) captura automática de interacciones no lineales entre variables</w:t>
      </w:r>
      <w:r w:rsidR="004079C8">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eficiencia computacional con 69.363 observaciones y 94 </w:t>
      </w:r>
      <w:proofErr w:type="spellStart"/>
      <w:r w:rsidRPr="00C64F68">
        <w:rPr>
          <w:rFonts w:ascii="Times New Roman" w:hAnsi="Times New Roman" w:cs="Times New Roman"/>
        </w:rPr>
        <w:t>features</w:t>
      </w:r>
      <w:proofErr w:type="spellEnd"/>
      <w:r w:rsidR="004079C8">
        <w:rPr>
          <w:rFonts w:ascii="Times New Roman" w:hAnsi="Times New Roman" w:cs="Times New Roman"/>
        </w:rPr>
        <w:t xml:space="preserve">, </w:t>
      </w:r>
      <w:proofErr w:type="spellStart"/>
      <w:r w:rsidRPr="00C64F68">
        <w:rPr>
          <w:rFonts w:ascii="Times New Roman" w:hAnsi="Times New Roman" w:cs="Times New Roman"/>
        </w:rPr>
        <w:t>iv</w:t>
      </w:r>
      <w:proofErr w:type="spellEnd"/>
      <w:r w:rsidRPr="00C64F68">
        <w:rPr>
          <w:rFonts w:ascii="Times New Roman" w:hAnsi="Times New Roman" w:cs="Times New Roman"/>
        </w:rPr>
        <w:t>) compatibilidad directa con valores SHAP para interpretabilidad.</w:t>
      </w:r>
    </w:p>
    <w:p w14:paraId="2908AA99" w14:textId="4C857CAF"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3.3 Separación temporal y prevención de data </w:t>
      </w:r>
      <w:proofErr w:type="spellStart"/>
      <w:r w:rsidRPr="00C64F68">
        <w:rPr>
          <w:rFonts w:ascii="Times New Roman" w:hAnsi="Times New Roman" w:cs="Times New Roman"/>
        </w:rPr>
        <w:t>leakage</w:t>
      </w:r>
      <w:proofErr w:type="spellEnd"/>
    </w:p>
    <w:p w14:paraId="69F3DD41" w14:textId="24A6C2CA"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Para evitar data </w:t>
      </w:r>
      <w:proofErr w:type="spellStart"/>
      <w:r w:rsidRPr="00C64F68">
        <w:rPr>
          <w:rFonts w:ascii="Times New Roman" w:hAnsi="Times New Roman" w:cs="Times New Roman"/>
        </w:rPr>
        <w:t>leakage</w:t>
      </w:r>
      <w:proofErr w:type="spellEnd"/>
      <w:r w:rsidRPr="00C64F68">
        <w:rPr>
          <w:rFonts w:ascii="Times New Roman" w:hAnsi="Times New Roman" w:cs="Times New Roman"/>
        </w:rPr>
        <w:t xml:space="preserve">, se aplica un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temporal estricto: los datos anteriores al 1 de junio de 2023 constituyen el conjunto de entrenamiento, y los posteriores, el conjunto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Se excluyen las últimas 4 semanas antes del corte (HORIZON = 4) para evitar </w:t>
      </w:r>
      <w:r w:rsidRPr="00C64F68">
        <w:rPr>
          <w:rFonts w:ascii="Times New Roman" w:hAnsi="Times New Roman" w:cs="Times New Roman"/>
        </w:rPr>
        <w:lastRenderedPageBreak/>
        <w:t xml:space="preserve">solapamiento entre la variable objetivo del entrenamiento y el período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Este valor se validó empíricamente como óptimo dentro del rango </w:t>
      </w:r>
      <w:r w:rsidR="00181455">
        <w:rPr>
          <w:rFonts w:ascii="Times New Roman" w:hAnsi="Times New Roman" w:cs="Times New Roman"/>
        </w:rPr>
        <w:t>(</w:t>
      </w:r>
      <w:r w:rsidRPr="00C64F68">
        <w:rPr>
          <w:rFonts w:ascii="Times New Roman" w:hAnsi="Times New Roman" w:cs="Times New Roman"/>
        </w:rPr>
        <w:t>2, 4, 8</w:t>
      </w:r>
      <w:r w:rsidR="00181455">
        <w:rPr>
          <w:rFonts w:ascii="Times New Roman" w:hAnsi="Times New Roman" w:cs="Times New Roman"/>
        </w:rPr>
        <w:t>)</w:t>
      </w:r>
      <w:r w:rsidRPr="00C64F68">
        <w:rPr>
          <w:rFonts w:ascii="Times New Roman" w:hAnsi="Times New Roman" w:cs="Times New Roman"/>
        </w:rPr>
        <w:t xml:space="preserve"> semanas.</w:t>
      </w:r>
    </w:p>
    <w:p w14:paraId="5DD99989" w14:textId="7FE3F256"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3.4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por oleadas pandémicas</w:t>
      </w:r>
    </w:p>
    <w:p w14:paraId="0998C5AB" w14:textId="779FDDE9"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Más allá del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único, se realiza una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que simula el uso real del sistema: el modelo se entrena con datos de las oleadas 1 a N y se evalúa sobre la oleada N+1, repitiendo el proceso para las cuatro transiciones principales de la pandemia (</w:t>
      </w:r>
      <w:proofErr w:type="spellStart"/>
      <w:r w:rsidRPr="00C64F68">
        <w:rPr>
          <w:rFonts w:ascii="Times New Roman" w:hAnsi="Times New Roman" w:cs="Times New Roman"/>
        </w:rPr>
        <w:t>pre-VOC→Delta</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Delta→Omicron</w:t>
      </w:r>
      <w:proofErr w:type="spellEnd"/>
      <w:r w:rsidRPr="00C64F68">
        <w:rPr>
          <w:rFonts w:ascii="Times New Roman" w:hAnsi="Times New Roman" w:cs="Times New Roman"/>
        </w:rPr>
        <w:t xml:space="preserve"> BA.1, </w:t>
      </w:r>
      <w:proofErr w:type="spellStart"/>
      <w:r w:rsidRPr="00C64F68">
        <w:rPr>
          <w:rFonts w:ascii="Times New Roman" w:hAnsi="Times New Roman" w:cs="Times New Roman"/>
        </w:rPr>
        <w:t>Omicron</w:t>
      </w:r>
      <w:proofErr w:type="spellEnd"/>
      <w:r w:rsidRPr="00C64F68">
        <w:rPr>
          <w:rFonts w:ascii="Times New Roman" w:hAnsi="Times New Roman" w:cs="Times New Roman"/>
        </w:rPr>
        <w:t xml:space="preserve"> BA.1→BA.4/5+, BA.4/5+→Post-2023). Este diseño responde a la pregunta: «si tuviéramos este modelo en 2021, ¿habría predicho correctamente la llegada de </w:t>
      </w:r>
      <w:proofErr w:type="spellStart"/>
      <w:r w:rsidRPr="00C64F68">
        <w:rPr>
          <w:rFonts w:ascii="Times New Roman" w:hAnsi="Times New Roman" w:cs="Times New Roman"/>
        </w:rPr>
        <w:t>Omicron</w:t>
      </w:r>
      <w:proofErr w:type="spellEnd"/>
      <w:r w:rsidRPr="00C64F68">
        <w:rPr>
          <w:rFonts w:ascii="Times New Roman" w:hAnsi="Times New Roman" w:cs="Times New Roman"/>
        </w:rPr>
        <w:t>?»</w:t>
      </w:r>
    </w:p>
    <w:p w14:paraId="6F82EC31" w14:textId="0CAC0E3D"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3.5 Modelo extendido con datos UDS</w:t>
      </w:r>
    </w:p>
    <w:p w14:paraId="1A4BE4D2" w14:textId="182DBD7E" w:rsidR="00C64F68" w:rsidRPr="00C64F68" w:rsidRDefault="00C64F68" w:rsidP="00387013">
      <w:pPr>
        <w:jc w:val="both"/>
        <w:rPr>
          <w:rFonts w:ascii="Times New Roman" w:hAnsi="Times New Roman" w:cs="Times New Roman"/>
        </w:rPr>
      </w:pPr>
      <w:r w:rsidRPr="00C64F68">
        <w:rPr>
          <w:rFonts w:ascii="Times New Roman" w:hAnsi="Times New Roman" w:cs="Times New Roman"/>
        </w:rPr>
        <w:t>Se entrenan y comparan cuatro configuraciones: (i) baseline (DummyClassifier, AUC = 0,50), (ii) Modelo 1: 19 grupos Nextclade, 13 features temporales, (iii) Modelo 2 solo-temporal: 366 familias Pango, 15 features temporales (sin mutaciones), y (iv) Modelo 2 completo: 366 familias Pango, 15 temporales + 30 mutacionales within-family. Para ambos modelos se usa LightGBM con early stopping (50 rondas sin mejora) y scale_pos_weight proporcional al desbalanceo de clases (≈30:1). El split temporal es idéntico: entrenamiento antes del 01-Jun-2023, test desde 01-Jun-2023.</w:t>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r w:rsidR="00BE52D5">
        <w:rPr>
          <w:rFonts w:ascii="Times New Roman" w:hAnsi="Times New Roman" w:cs="Times New Roman"/>
        </w:rPr>
      </w:r>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r w:rsidR="00BE52D5">
        <w:rPr>
          <w:rFonts w:ascii="Times New Roman" w:hAnsi="Times New Roman" w:cs="Times New Roman"/>
        </w:rPr>
      </w:r>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roofErr w:type="spellStart"/>
      <w:r w:rsidRPr="00C64F68">
        <w:rPr>
          <w:rFonts w:ascii="Times New Roman" w:hAnsi="Times New Roman" w:cs="Times New Roman"/>
        </w:rPr>
      </w:r>
      <w:proofErr w:type="spellEnd"/>
      <w:r w:rsidRPr="00C64F68">
        <w:rPr>
          <w:rFonts w:ascii="Times New Roman" w:hAnsi="Times New Roman" w:cs="Times New Roman"/>
        </w:rPr>
      </w:r>
    </w:p>
    <w:p>
      <w:pPr>
        <w:pStyle w:val="Ttulo2"/>
      </w:pPr>
      <w:r>
        <w:t>3.6 Análisis de supervivencia: tiempo hasta dominancia</w:t>
      </w:r>
    </w:p>
    <w:p>
      <w:pPr/>
      <w:r>
        <w:t>Complementariamente al modelo de clasificación binaria (T+4 semanas), se implementa un análisis de supervivencia mediante el modelo Cox Proportional Hazards (Cox PH) sobre el conjunto completo de datos 2020–2026. El evento de interés es que una familia Pango alcance una frecuencia global ≥10% por primera vez. El tiempo de detección se define como la primera semana en que la familia supera el 0,5% de frecuencia global (primera señal estadísticamente fiable). Las familias que no alcanzan el evento al final del periodo de observación se tratan como observaciones censuradas por la derecha, siguiendo la metodología estándar de análisis de supervivencia.</w:t>
      </w:r>
    </w:p>
    <w:p>
      <w:pPr/>
      <w:r>
        <w:t>Las covariables del modelo son: frecuencia en el momento de detección (freq_detect), número de países donde circula (n_countries_detect), pendiente de crecimiento en las primeras 4 semanas tras la detección (slope_early, escalada ×100) y época pandémica codificada ordinalmente (epoch_num: 0=Pre-VOC, 8=Post-25C). La calidad del ajuste se evalúa con el índice de concordancia C (equivalente al AUC-ROC en análisis de supervivencia). La implementación utiliza la librería lifelines v0.28.</w:t>
      </w:r>
    </w:p>
    <w:p>
      <w:pPr/>
      <w:r>
        <w:t>La predicción combinada (sección 7.2 del notebook) cruza la probabilidad de crecimiento a T+4 del modelo LightGBM con la probabilidad de dominancia a 26 semanas del modelo Cox PH, generando una señal de alerta de tres niveles: Alta (suma &gt;0,65), Moderada (&gt;0,45) y Baja.</w:t>
      </w:r>
    </w:p>
    <w:p w14:paraId="5B9E2D2E" w14:textId="77777777" w:rsidR="00430E0E" w:rsidRPr="00430E0E" w:rsidRDefault="00430E0E" w:rsidP="00387013">
      <w:pPr>
        <w:jc w:val="both"/>
        <w:rPr>
          <w:rFonts w:ascii="Times New Roman" w:hAnsi="Times New Roman" w:cs="Times New Roman"/>
        </w:rPr>
      </w:pPr>
    </w:p>
    <w:p w14:paraId="205B2745" w14:textId="29F4C200" w:rsidR="00430E0E" w:rsidRDefault="00430E0E" w:rsidP="00387013">
      <w:pPr>
        <w:jc w:val="both"/>
      </w:pPr>
      <w:r>
        <w:br w:type="page"/>
      </w:r>
    </w:p>
    <w:p w14:paraId="6F86A9C2" w14:textId="1C2B59EF" w:rsidR="00430E0E" w:rsidRPr="00430E0E" w:rsidRDefault="00430E0E" w:rsidP="00387013">
      <w:pPr>
        <w:pStyle w:val="Ttulo1"/>
        <w:jc w:val="both"/>
        <w:rPr>
          <w:rFonts w:ascii="Times New Roman" w:hAnsi="Times New Roman" w:cs="Times New Roman"/>
        </w:rPr>
      </w:pPr>
      <w:r w:rsidRPr="00430E0E">
        <w:rPr>
          <w:rFonts w:ascii="Times New Roman" w:hAnsi="Times New Roman" w:cs="Times New Roman"/>
        </w:rPr>
        <w:lastRenderedPageBreak/>
        <w:t>4. Resultados</w:t>
      </w:r>
    </w:p>
    <w:p w14:paraId="38F683A4" w14:textId="6424F548" w:rsidR="00430E0E" w:rsidRPr="00430E0E" w:rsidRDefault="00430E0E" w:rsidP="00387013">
      <w:pPr>
        <w:pStyle w:val="Ttulo2"/>
        <w:jc w:val="both"/>
        <w:rPr>
          <w:rFonts w:ascii="Times New Roman" w:hAnsi="Times New Roman" w:cs="Times New Roman"/>
        </w:rPr>
      </w:pPr>
      <w:r w:rsidRPr="00430E0E">
        <w:rPr>
          <w:rFonts w:ascii="Times New Roman" w:hAnsi="Times New Roman" w:cs="Times New Roman"/>
        </w:rPr>
        <w:t>4.1 Capacidad discriminativa global</w:t>
      </w:r>
    </w:p>
    <w:p w14:paraId="2A6D75F9" w14:textId="574CE663" w:rsidR="00430E0E" w:rsidRPr="00430E0E" w:rsidRDefault="00430E0E" w:rsidP="00387013">
      <w:pPr>
        <w:jc w:val="both"/>
        <w:rPr>
          <w:rFonts w:ascii="Times New Roman" w:hAnsi="Times New Roman" w:cs="Times New Roman"/>
        </w:rPr>
      </w:pPr>
      <w:r w:rsidRPr="00430E0E">
        <w:rPr>
          <w:rFonts w:ascii="Times New Roman" w:hAnsi="Times New Roman" w:cs="Times New Roman"/>
        </w:rPr>
        <w:t>El Modelo 1 (13 features temporales, 65.035 observaciones) alcanza un AUC de 0,8398 sobre datos completamente fuera del periodo de entrenamiento (17.467 observaciones de test), frente a AUC = 0,498 del baseline aleatorio. La mejora absoluta es +0,342. El Modelo 2 con features mutacionales within-family alcanza AUC = 0,8391 sobre 4.530 observaciones de test. Cuando el Modelo 2 usa features mutacionales globales (frecuencias de todo GISAID en vez de frecuencias dentro de la familia), el AUC cae a 0,8108, demostrando que el tipo de feature mutacional importa: las frecuencias globales introducen ruido temporal espurio mientras que el perfil within-family captura señal biológica real.</w:t>
      </w:r>
      <w:proofErr w:type="spellStart"/>
      <w:r w:rsidRPr="00430E0E">
        <w:rPr>
          <w:rFonts w:ascii="Times New Roman" w:hAnsi="Times New Roman" w:cs="Times New Roman"/>
        </w:rPr>
      </w:r>
      <w:proofErr w:type="spellEnd"/>
      <w:r w:rsidRPr="00430E0E">
        <w:rPr>
          <w:rFonts w:ascii="Times New Roman" w:hAnsi="Times New Roman" w:cs="Times New Roman"/>
        </w:rPr>
      </w:r>
      <w:proofErr w:type="spellStart"/>
      <w:r w:rsidRPr="00430E0E">
        <w:rPr>
          <w:rFonts w:ascii="Times New Roman" w:hAnsi="Times New Roman" w:cs="Times New Roman"/>
        </w:rPr>
      </w:r>
      <w:proofErr w:type="spellEnd"/>
      <w:r w:rsidRPr="00430E0E">
        <w:rPr>
          <w:rFonts w:ascii="Times New Roman" w:hAnsi="Times New Roman" w:cs="Times New Roman"/>
        </w:rPr>
      </w:r>
    </w:p>
    <w:p w14:paraId="7B8B17B2" w14:textId="2218F416"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En la validación </w:t>
      </w:r>
      <w:proofErr w:type="spellStart"/>
      <w:r w:rsidRPr="00430E0E">
        <w:rPr>
          <w:rFonts w:ascii="Times New Roman" w:hAnsi="Times New Roman" w:cs="Times New Roman"/>
        </w:rPr>
        <w:t>walk</w:t>
      </w:r>
      <w:proofErr w:type="spellEnd"/>
      <w:r w:rsidRPr="00430E0E">
        <w:rPr>
          <w:rFonts w:ascii="Times New Roman" w:hAnsi="Times New Roman" w:cs="Times New Roman"/>
        </w:rPr>
        <w:t>-forward, el modelo mantiene esta capacidad a través de todas las transiciones pandémicas:</w:t>
      </w:r>
    </w:p>
    <w:p w14:paraId="36159637" w14:textId="431F0CE9" w:rsidR="00E177F1" w:rsidRPr="000A1FB6" w:rsidRDefault="00E177F1" w:rsidP="00E177F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2</w:t>
      </w:r>
      <w:r w:rsidRPr="000A1FB6">
        <w:rPr>
          <w:rFonts w:ascii="Times New Roman" w:hAnsi="Times New Roman" w:cs="Times New Roman"/>
        </w:rPr>
        <w:fldChar w:fldCharType="end"/>
      </w:r>
      <w:r w:rsidRPr="000A1FB6">
        <w:rPr>
          <w:rFonts w:ascii="Times New Roman" w:hAnsi="Times New Roman" w:cs="Times New Roman"/>
        </w:rPr>
        <w:t xml:space="preserve"> - Resultados de validación </w:t>
      </w:r>
      <w:proofErr w:type="spellStart"/>
      <w:r w:rsidRPr="000A1FB6">
        <w:rPr>
          <w:rFonts w:ascii="Times New Roman" w:hAnsi="Times New Roman" w:cs="Times New Roman"/>
        </w:rPr>
        <w:t>walk</w:t>
      </w:r>
      <w:proofErr w:type="spellEnd"/>
      <w:r w:rsidRPr="000A1FB6">
        <w:rPr>
          <w:rFonts w:ascii="Times New Roman" w:hAnsi="Times New Roman" w:cs="Times New Roman"/>
        </w:rPr>
        <w:t>-forward por oleada pandémica.</w:t>
      </w:r>
    </w:p>
    <w:tbl>
      <w:tblPr>
        <w:tblStyle w:val="Tablaconcuadrcula"/>
        <w:tblW w:w="8599" w:type="dxa"/>
        <w:tblLook w:val="04A0" w:firstRow="1" w:lastRow="0" w:firstColumn="1" w:lastColumn="0" w:noHBand="0" w:noVBand="1"/>
      </w:tblPr>
      <w:tblGrid>
        <w:gridCol w:w="2866"/>
        <w:gridCol w:w="2866"/>
        <w:gridCol w:w="2867"/>
      </w:tblGrid>
      <w:tr w:rsidR="00753D59" w14:paraId="33F154E2" w14:textId="77777777" w:rsidTr="00E177F1">
        <w:trPr>
          <w:trHeight w:val="341"/>
        </w:trPr>
        <w:tc>
          <w:tcPr>
            <w:tcW w:w="2866" w:type="dxa"/>
          </w:tcPr>
          <w:p w14:paraId="0F04BA3D" w14:textId="3CA295AD"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Transición</w:t>
            </w:r>
          </w:p>
        </w:tc>
        <w:tc>
          <w:tcPr>
            <w:tcW w:w="2866" w:type="dxa"/>
          </w:tcPr>
          <w:p w14:paraId="43696165" w14:textId="4454E71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AUC</w:t>
            </w:r>
          </w:p>
        </w:tc>
        <w:tc>
          <w:tcPr>
            <w:tcW w:w="2867" w:type="dxa"/>
          </w:tcPr>
          <w:p w14:paraId="3CCA321D" w14:textId="08321DA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Contexto biológico</w:t>
            </w:r>
          </w:p>
        </w:tc>
      </w:tr>
      <w:tr w:rsidR="00753D59" w14:paraId="49B7382C" w14:textId="77777777" w:rsidTr="00E177F1">
        <w:trPr>
          <w:trHeight w:val="682"/>
        </w:trPr>
        <w:tc>
          <w:tcPr>
            <w:tcW w:w="2866" w:type="dxa"/>
          </w:tcPr>
          <w:p w14:paraId="4C522D7B" w14:textId="05A816F1"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Pre-VOC → Delta</w:t>
            </w:r>
          </w:p>
        </w:tc>
        <w:tc>
          <w:tcPr>
            <w:tcW w:w="2866" w:type="dxa"/>
          </w:tcPr>
          <w:p w14:paraId="07A79730" w14:textId="1C84C06B"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0,767</w:t>
            </w:r>
          </w:p>
        </w:tc>
        <w:tc>
          <w:tcPr>
            <w:tcW w:w="2867" w:type="dxa"/>
          </w:tcPr>
          <w:p w14:paraId="435FB533" w14:textId="2BD68A6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Primera variante de preocupación</w:t>
            </w:r>
          </w:p>
        </w:tc>
      </w:tr>
      <w:tr w:rsidR="00753D59" w14:paraId="77DD1903" w14:textId="77777777" w:rsidTr="00E177F1">
        <w:trPr>
          <w:trHeight w:val="667"/>
        </w:trPr>
        <w:tc>
          <w:tcPr>
            <w:tcW w:w="2866" w:type="dxa"/>
          </w:tcPr>
          <w:p w14:paraId="14F2D73D" w14:textId="60899BB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 xml:space="preserve">Delta → </w:t>
            </w: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w:t>
            </w:r>
          </w:p>
        </w:tc>
        <w:tc>
          <w:tcPr>
            <w:tcW w:w="2866" w:type="dxa"/>
          </w:tcPr>
          <w:p w14:paraId="4337FE2D" w14:textId="1A26A73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0,880</w:t>
            </w:r>
          </w:p>
        </w:tc>
        <w:tc>
          <w:tcPr>
            <w:tcW w:w="2867" w:type="dxa"/>
          </w:tcPr>
          <w:p w14:paraId="561ED4F8" w14:textId="57E91775"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Mayor salto evolutivo de la pandemia</w:t>
            </w:r>
          </w:p>
        </w:tc>
      </w:tr>
      <w:tr w:rsidR="00753D59" w14:paraId="0B2875AE" w14:textId="77777777" w:rsidTr="00E177F1">
        <w:trPr>
          <w:trHeight w:val="682"/>
        </w:trPr>
        <w:tc>
          <w:tcPr>
            <w:tcW w:w="2866" w:type="dxa"/>
          </w:tcPr>
          <w:p w14:paraId="78159002" w14:textId="2435CBBB" w:rsidR="00753D59" w:rsidRPr="00E177F1" w:rsidRDefault="00753D59" w:rsidP="00E177F1">
            <w:pPr>
              <w:rPr>
                <w:rFonts w:ascii="Times New Roman" w:hAnsi="Times New Roman" w:cs="Times New Roman"/>
                <w:szCs w:val="32"/>
              </w:rPr>
            </w:pP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 → BA.4/5+</w:t>
            </w:r>
          </w:p>
        </w:tc>
        <w:tc>
          <w:tcPr>
            <w:tcW w:w="2866" w:type="dxa"/>
          </w:tcPr>
          <w:p w14:paraId="6E4289BF" w14:textId="3ED591C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0,739</w:t>
            </w:r>
          </w:p>
        </w:tc>
        <w:tc>
          <w:tcPr>
            <w:tcW w:w="2867" w:type="dxa"/>
          </w:tcPr>
          <w:p w14:paraId="09AB4952" w14:textId="224799FA"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Diversificación intra-</w:t>
            </w:r>
            <w:proofErr w:type="spellStart"/>
            <w:r w:rsidRPr="00E177F1">
              <w:rPr>
                <w:rFonts w:ascii="Times New Roman" w:hAnsi="Times New Roman" w:cs="Times New Roman"/>
                <w:szCs w:val="32"/>
              </w:rPr>
              <w:t>Omicron</w:t>
            </w:r>
            <w:proofErr w:type="spellEnd"/>
          </w:p>
        </w:tc>
      </w:tr>
      <w:tr w:rsidR="00753D59" w14:paraId="79C2AE38" w14:textId="77777777" w:rsidTr="00E177F1">
        <w:trPr>
          <w:trHeight w:val="682"/>
        </w:trPr>
        <w:tc>
          <w:tcPr>
            <w:tcW w:w="2866" w:type="dxa"/>
          </w:tcPr>
          <w:p w14:paraId="2A37521A" w14:textId="2FEAD54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BA.4/5+ → Post-2023</w:t>
            </w:r>
          </w:p>
        </w:tc>
        <w:tc>
          <w:tcPr>
            <w:tcW w:w="2866" w:type="dxa"/>
          </w:tcPr>
          <w:p w14:paraId="27558AA3" w14:textId="5F03D26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0,810</w:t>
            </w:r>
          </w:p>
        </w:tc>
        <w:tc>
          <w:tcPr>
            <w:tcW w:w="2867" w:type="dxa"/>
          </w:tcPr>
          <w:p w14:paraId="17B444DE" w14:textId="30AB0D8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Linajes JN.1 y descendientes</w:t>
            </w:r>
          </w:p>
        </w:tc>
      </w:tr>
    </w:tbl>
    <w:p w14:paraId="705C2E13" w14:textId="77777777" w:rsidR="00E177F1" w:rsidRDefault="00E177F1" w:rsidP="00387013">
      <w:pPr>
        <w:jc w:val="both"/>
        <w:rPr>
          <w:rFonts w:ascii="Times New Roman" w:hAnsi="Times New Roman" w:cs="Times New Roman"/>
        </w:rPr>
      </w:pPr>
    </w:p>
    <w:p w14:paraId="27378EE1" w14:textId="0EE7DED4"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La ausencia de colapso del AUC en la transición a </w:t>
      </w:r>
      <w:proofErr w:type="spellStart"/>
      <w:r w:rsidRPr="00CA2C27">
        <w:rPr>
          <w:rFonts w:ascii="Times New Roman" w:hAnsi="Times New Roman" w:cs="Times New Roman"/>
        </w:rPr>
        <w:t>Omicron</w:t>
      </w:r>
      <w:proofErr w:type="spellEnd"/>
      <w:r w:rsidR="00CB4EB6" w:rsidRPr="00CB4EB6">
        <w:rPr>
          <w:rFonts w:ascii="Times New Roman" w:hAnsi="Times New Roman" w:cs="Times New Roman"/>
        </w:rPr>
        <w:t xml:space="preserve">, </w:t>
      </w:r>
      <w:r w:rsidRPr="00CA2C27">
        <w:rPr>
          <w:rFonts w:ascii="Times New Roman" w:hAnsi="Times New Roman" w:cs="Times New Roman"/>
        </w:rPr>
        <w:t>la más inesperada virológicamente</w:t>
      </w:r>
      <w:r w:rsidR="00CB4EB6" w:rsidRPr="00CB4EB6">
        <w:rPr>
          <w:rFonts w:ascii="Times New Roman" w:hAnsi="Times New Roman" w:cs="Times New Roman"/>
        </w:rPr>
        <w:t>,</w:t>
      </w:r>
      <w:r w:rsidRPr="00CA2C27">
        <w:rPr>
          <w:rFonts w:ascii="Times New Roman" w:hAnsi="Times New Roman" w:cs="Times New Roman"/>
        </w:rPr>
        <w:t xml:space="preserve"> indica que el modelo captura señales de selección positiva que trascienden la identidad de la variante concreta.</w:t>
      </w:r>
    </w:p>
    <w:p w14:paraId="5D98F220" w14:textId="4F8D9AE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4.2 Precisión operacional</w:t>
      </w:r>
    </w:p>
    <w:p w14:paraId="13C35595" w14:textId="6170927F" w:rsidR="00CA2C27" w:rsidRPr="00CA2C27" w:rsidRDefault="00CA2C27" w:rsidP="00387013">
      <w:pPr>
        <w:jc w:val="both"/>
        <w:rPr>
          <w:rFonts w:ascii="Times New Roman" w:hAnsi="Times New Roman" w:cs="Times New Roman"/>
        </w:rPr>
      </w:pPr>
      <w:r w:rsidRPr="00CA2C27">
        <w:rPr>
          <w:rFonts w:ascii="Times New Roman" w:hAnsi="Times New Roman" w:cs="Times New Roman"/>
        </w:rPr>
        <w:t>Con una prevalencia del 4,0% de linajes en expansión (target = 1), el threshold por defecto de 0,5 produce cero predicciones positivas. Con el threshold óptimo (0,157, maximizando F1 sobre el conjunto de test), el Modelo 1 alcanza: Accuracy = 0,923, Precision = 0,377, Recall = 0,429, F1 = 0,401. La matriz de confusión muestra TP = 451 (emergencias correctamente identificadas), FP = 746 (falsas alarmas), FN = 601 (emergencias perdidas), TN = 15.669. En un contexto de vigilancia epidemiológica, el Recall es la métrica prioritaria: el sistema detecta el 43% de las emergencias reales, con un coste de 1,7 falsas alarmas por cada verdadero positivo.</w:t>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roofErr w:type="spellStart"/>
      <w:r w:rsidRPr="00CA2C27">
        <w:rPr>
          <w:rFonts w:ascii="Times New Roman" w:hAnsi="Times New Roman" w:cs="Times New Roman"/>
        </w:rPr>
      </w:r>
      <w:proofErr w:type="spellEnd"/>
      <w:r w:rsidRPr="00CA2C27">
        <w:rPr>
          <w:rFonts w:ascii="Times New Roman" w:hAnsi="Times New Roman" w:cs="Times New Roman"/>
        </w:rPr>
      </w:r>
    </w:p>
    <w:p w14:paraId="40087D13" w14:textId="20B3124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4.3 Contribución cuantificada del UDS</w:t>
      </w:r>
    </w:p>
    <w:p w14:paraId="600A7CD4" w14:textId="04880EBC" w:rsidR="00CA2C27" w:rsidRPr="00CA2C27" w:rsidRDefault="00CA2C27" w:rsidP="00387013">
      <w:pPr>
        <w:jc w:val="both"/>
        <w:rPr>
          <w:rFonts w:ascii="Times New Roman" w:hAnsi="Times New Roman" w:cs="Times New Roman"/>
        </w:rPr>
      </w:pPr>
      <w:r w:rsidRPr="00CA2C27">
        <w:rPr>
          <w:rFonts w:ascii="Times New Roman" w:hAnsi="Times New Roman" w:cs="Times New Roman"/>
        </w:rPr>
        <w:t>La comparación de los modelos revela el impacto del tipo de feature mutacional. El Modelo 2 con mutaciones globales (frecuencia de cada mutación en todo GISAID esa semana) obtiene AUC = 0,8108, inferior al modelo solo-temporal (0,8304) y muy inferior al Modelo 1 (0,8398). En cambio, el Modelo 2 con mutaciones within-family (perfil mutacional interno de cada familia) obtiene AUC = 0,8391, casi idéntico al Modelo 1 y +0,009 sobre el solo-temporal. Esto demuestra que las frecuencias globales actúan como proxy temporal (marcan épocas pandémicas, no características del linaje) y perjudican la generalización al período de test. El perfil within-family, en cambio, captura cuántas mutaciones de interés están barriendo internamente en el linaje, lo que tiene correlación directa con ventaja selectiva.</w:t>
      </w:r>
      <w:proofErr w:type="spellStart"/>
      <w:r w:rsidRPr="00CA2C27">
        <w:rPr>
          <w:rFonts w:ascii="Times New Roman" w:hAnsi="Times New Roman" w:cs="Times New Roman"/>
        </w:rPr>
      </w:r>
      <w:proofErr w:type="spellEnd"/>
      <w:r w:rsidRPr="00CA2C27">
        <w:rPr>
          <w:rFonts w:ascii="Times New Roman" w:hAnsi="Times New Roman" w:cs="Times New Roman"/>
        </w:rPr>
      </w:r>
      <w:r w:rsidR="008E1288" w:rsidRPr="008E1288">
        <w:rPr>
          <w:rFonts w:ascii="Times New Roman" w:hAnsi="Times New Roman" w:cs="Times New Roman"/>
        </w:rPr>
      </w:r>
      <w:r w:rsidRPr="00CA2C27">
        <w:rPr>
          <w:rFonts w:ascii="Times New Roman" w:hAnsi="Times New Roman" w:cs="Times New Roman"/>
        </w:rPr>
      </w:r>
      <w:r w:rsidRPr="00CA2C27">
        <w:rPr>
          <w:rFonts w:ascii="Times New Roman" w:hAnsi="Times New Roman" w:cs="Times New Roman"/>
        </w:rPr>
      </w:r>
      <w:r w:rsidR="00CB4EB6" w:rsidRPr="00CB4EB6">
        <w:rPr>
          <w:rFonts w:ascii="Times New Roman" w:hAnsi="Times New Roman" w:cs="Times New Roman"/>
        </w:rPr>
      </w:r>
      <w:r w:rsidRPr="00CA2C27">
        <w:rPr>
          <w:rFonts w:ascii="Times New Roman" w:hAnsi="Times New Roman" w:cs="Times New Roman"/>
        </w:rPr>
      </w:r>
      <w:r w:rsidR="00CB4EB6" w:rsidRPr="00CB4EB6">
        <w:rPr>
          <w:rFonts w:ascii="Times New Roman" w:hAnsi="Times New Roman" w:cs="Times New Roman"/>
        </w:rPr>
      </w:r>
      <w:r w:rsidRPr="00CA2C27">
        <w:rPr>
          <w:rFonts w:ascii="Times New Roman" w:hAnsi="Times New Roman" w:cs="Times New Roman"/>
        </w:rPr>
      </w:r>
    </w:p>
    <w:p w14:paraId="5D7A32A7" w14:textId="33F612E6" w:rsidR="00224928" w:rsidRPr="00224928" w:rsidRDefault="00224928" w:rsidP="00387013">
      <w:pPr>
        <w:pStyle w:val="Ttulo2"/>
        <w:jc w:val="both"/>
        <w:rPr>
          <w:rFonts w:ascii="Times New Roman" w:hAnsi="Times New Roman" w:cs="Times New Roman"/>
        </w:rPr>
      </w:pPr>
      <w:r w:rsidRPr="00224928">
        <w:rPr>
          <w:rFonts w:ascii="Times New Roman" w:hAnsi="Times New Roman" w:cs="Times New Roman"/>
        </w:rPr>
        <w:t>4.4 Interpretabilidad: análisis SHAP</w:t>
      </w:r>
    </w:p>
    <w:p w14:paraId="67911AB2" w14:textId="44BA16DA" w:rsidR="00224928" w:rsidRPr="00224928" w:rsidRDefault="00224928" w:rsidP="00387013">
      <w:pPr>
        <w:jc w:val="both"/>
        <w:rPr>
          <w:rFonts w:ascii="Times New Roman" w:hAnsi="Times New Roman" w:cs="Times New Roman"/>
        </w:rPr>
      </w:pPr>
      <w:r w:rsidRPr="00224928">
        <w:rPr>
          <w:rFonts w:ascii="Times New Roman" w:hAnsi="Times New Roman" w:cs="Times New Roman"/>
        </w:rPr>
        <w:t>El análisis SHAP (SHapley Additive exPlanations) sobre el Modelo 2 completo revela que las contribuciones medias |SHAP| son: freq_t0 (0,378), slope_8w (0,302), slope_4w (0,268), freq_4w_ago (0,053) y mut_NSP15_T112I (0,053). Las tres features temporales dominantes concentran el 97% del poder predictivo. La primera mutación significativa (NSP15_T112I, posición 5 en importancia) es una mutación de la ribonucleasa viral con variabilidad real entre linajes, no un marcador de época. Esto contrasta con el análisis con mutaciones globales (versión anterior), donde la primera mutación era Spike_P681H —marcador de Alpha/Delta— que actuaba como reloj epidémico, no como señal biológica del linaje.</w:t>
      </w:r>
      <w:proofErr w:type="spellStart"/>
      <w:r w:rsidRPr="00224928">
        <w:rPr>
          <w:rFonts w:ascii="Times New Roman" w:hAnsi="Times New Roman" w:cs="Times New Roman"/>
        </w:rPr>
      </w:r>
      <w:proofErr w:type="spellEnd"/>
      <w:r w:rsidRPr="00224928">
        <w:rPr>
          <w:rFonts w:ascii="Times New Roman" w:hAnsi="Times New Roman" w:cs="Times New Roman"/>
        </w:rPr>
      </w:r>
      <w:proofErr w:type="spellStart"/>
      <w:r w:rsidRPr="00224928">
        <w:rPr>
          <w:rFonts w:ascii="Times New Roman" w:hAnsi="Times New Roman" w:cs="Times New Roman"/>
        </w:rPr>
      </w:r>
      <w:proofErr w:type="spellEnd"/>
      <w:r w:rsidRPr="00224928">
        <w:rPr>
          <w:rFonts w:ascii="Times New Roman" w:hAnsi="Times New Roman" w:cs="Times New Roman"/>
        </w:rPr>
      </w:r>
      <w:proofErr w:type="spellStart"/>
      <w:r w:rsidRPr="00224928">
        <w:rPr>
          <w:rFonts w:ascii="Times New Roman" w:hAnsi="Times New Roman" w:cs="Times New Roman"/>
        </w:rPr>
      </w:r>
      <w:proofErr w:type="spellEnd"/>
      <w:r w:rsidRPr="00224928">
        <w:rPr>
          <w:rFonts w:ascii="Times New Roman" w:hAnsi="Times New Roman" w:cs="Times New Roman"/>
        </w:rPr>
      </w:r>
      <w:proofErr w:type="spellStart"/>
      <w:r w:rsidRPr="00224928">
        <w:rPr>
          <w:rFonts w:ascii="Times New Roman" w:hAnsi="Times New Roman" w:cs="Times New Roman"/>
        </w:rPr>
      </w:r>
      <w:proofErr w:type="spellEnd"/>
      <w:r w:rsidRPr="00224928">
        <w:rPr>
          <w:rFonts w:ascii="Times New Roman" w:hAnsi="Times New Roman" w:cs="Times New Roman"/>
        </w:rPr>
      </w:r>
    </w:p>
    <w:p w14:paraId="7E7BDE26" w14:textId="456DAF63" w:rsidR="00CD5631" w:rsidRPr="000A1FB6" w:rsidRDefault="00CD5631" w:rsidP="00CD563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3</w:t>
      </w:r>
      <w:r w:rsidRPr="000A1FB6">
        <w:rPr>
          <w:rFonts w:ascii="Times New Roman" w:hAnsi="Times New Roman" w:cs="Times New Roman"/>
        </w:rPr>
        <w:fldChar w:fldCharType="end"/>
      </w:r>
      <w:r w:rsidRPr="000A1FB6">
        <w:rPr>
          <w:rFonts w:ascii="Times New Roman" w:hAnsi="Times New Roman" w:cs="Times New Roman"/>
        </w:rPr>
        <w:t xml:space="preserve"> - Contribuciones SHAP de las </w:t>
      </w:r>
      <w:proofErr w:type="spellStart"/>
      <w:r w:rsidRPr="000A1FB6">
        <w:rPr>
          <w:rFonts w:ascii="Times New Roman" w:hAnsi="Times New Roman" w:cs="Times New Roman"/>
        </w:rPr>
        <w:t>features</w:t>
      </w:r>
      <w:proofErr w:type="spellEnd"/>
      <w:r w:rsidRPr="000A1FB6">
        <w:rPr>
          <w:rFonts w:ascii="Times New Roman" w:hAnsi="Times New Roman" w:cs="Times New Roman"/>
        </w:rPr>
        <w:t xml:space="preserve"> principales.</w:t>
      </w:r>
    </w:p>
    <w:tbl>
      <w:tblPr>
        <w:tblStyle w:val="Tablaconcuadrcula"/>
        <w:tblW w:w="0" w:type="auto"/>
        <w:tblLook w:val="04A0" w:firstRow="1" w:lastRow="0" w:firstColumn="1" w:lastColumn="0" w:noHBand="0" w:noVBand="1"/>
      </w:tblPr>
      <w:tblGrid>
        <w:gridCol w:w="2831"/>
        <w:gridCol w:w="2831"/>
        <w:gridCol w:w="2832"/>
      </w:tblGrid>
      <w:tr w:rsidR="00864469" w14:paraId="6B060868" w14:textId="77777777" w:rsidTr="00864469">
        <w:tc>
          <w:tcPr>
            <w:tcW w:w="2831" w:type="dxa"/>
          </w:tcPr>
          <w:p w14:paraId="713F39A3" w14:textId="1E554E90" w:rsidR="00864469" w:rsidRPr="00CD5631" w:rsidRDefault="00864469" w:rsidP="00387013">
            <w:pPr>
              <w:jc w:val="both"/>
              <w:rPr>
                <w:rFonts w:ascii="Times New Roman" w:hAnsi="Times New Roman" w:cs="Times New Roman"/>
                <w:b/>
                <w:iCs/>
                <w:szCs w:val="32"/>
              </w:rPr>
            </w:pPr>
            <w:proofErr w:type="spellStart"/>
            <w:r w:rsidRPr="00CD5631">
              <w:rPr>
                <w:rFonts w:ascii="Times New Roman" w:hAnsi="Times New Roman" w:cs="Times New Roman"/>
                <w:b/>
                <w:iCs/>
                <w:szCs w:val="32"/>
              </w:rPr>
              <w:t>Feature</w:t>
            </w:r>
            <w:proofErr w:type="spellEnd"/>
          </w:p>
        </w:tc>
        <w:tc>
          <w:tcPr>
            <w:tcW w:w="2831" w:type="dxa"/>
          </w:tcPr>
          <w:p w14:paraId="21930679" w14:textId="49B3AE89"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SHAP</w:t>
            </w:r>
          </w:p>
        </w:tc>
        <w:tc>
          <w:tcPr>
            <w:tcW w:w="2832" w:type="dxa"/>
          </w:tcPr>
          <w:p w14:paraId="206C04EF" w14:textId="0D3B9327"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Interpretación biológica</w:t>
            </w:r>
          </w:p>
        </w:tc>
      </w:tr>
      <w:tr w:rsidR="00864469" w14:paraId="4E964AC9" w14:textId="77777777" w:rsidTr="00864469">
        <w:tc>
          <w:tcPr>
            <w:tcW w:w="2831" w:type="dxa"/>
          </w:tcPr>
          <w:p w14:paraId="617D77D6" w14:textId="41890500"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mut_Spike_L216F</w:t>
            </w:r>
          </w:p>
        </w:tc>
        <w:tc>
          <w:tcPr>
            <w:tcW w:w="2831" w:type="dxa"/>
          </w:tcPr>
          <w:p w14:paraId="256B48E6" w14:textId="4091B5EE"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+0,579</w:t>
            </w:r>
          </w:p>
        </w:tc>
        <w:tc>
          <w:tcPr>
            <w:tcW w:w="2832" w:type="dxa"/>
          </w:tcPr>
          <w:p w14:paraId="1FD87892" w14:textId="30FD38A3"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NTD del Spike, presente en linajes recientes</w:t>
            </w:r>
          </w:p>
        </w:tc>
      </w:tr>
      <w:tr w:rsidR="00864469" w14:paraId="5D2E8368" w14:textId="77777777" w:rsidTr="00864469">
        <w:tc>
          <w:tcPr>
            <w:tcW w:w="2831" w:type="dxa"/>
          </w:tcPr>
          <w:p w14:paraId="76BFE160" w14:textId="7D72A27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slope_4w</w:t>
            </w:r>
          </w:p>
        </w:tc>
        <w:tc>
          <w:tcPr>
            <w:tcW w:w="2831" w:type="dxa"/>
          </w:tcPr>
          <w:p w14:paraId="3A361058" w14:textId="31D0E7C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+0,476</w:t>
            </w:r>
          </w:p>
        </w:tc>
        <w:tc>
          <w:tcPr>
            <w:tcW w:w="2832" w:type="dxa"/>
          </w:tcPr>
          <w:p w14:paraId="471DCC2C" w14:textId="3659CBD6"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Pendiente de crecimiento en las últimas 4 semanas</w:t>
            </w:r>
          </w:p>
        </w:tc>
      </w:tr>
      <w:tr w:rsidR="00864469" w14:paraId="40F10CBF" w14:textId="77777777" w:rsidTr="00864469">
        <w:tc>
          <w:tcPr>
            <w:tcW w:w="2831" w:type="dxa"/>
          </w:tcPr>
          <w:p w14:paraId="5C741B4D" w14:textId="2DEDB03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freq_t0</w:t>
            </w:r>
          </w:p>
        </w:tc>
        <w:tc>
          <w:tcPr>
            <w:tcW w:w="2831" w:type="dxa"/>
          </w:tcPr>
          <w:p w14:paraId="6D482FBD" w14:textId="128D7E1B"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+0,235</w:t>
            </w:r>
          </w:p>
        </w:tc>
        <w:tc>
          <w:tcPr>
            <w:tcW w:w="2832" w:type="dxa"/>
          </w:tcPr>
          <w:p w14:paraId="055C4C8A" w14:textId="592B82A9"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Frecuencia actual: un </w:t>
            </w:r>
            <w:proofErr w:type="spellStart"/>
            <w:r w:rsidRPr="00CD5631">
              <w:rPr>
                <w:rFonts w:ascii="Times New Roman" w:hAnsi="Times New Roman" w:cs="Times New Roman"/>
                <w:iCs/>
                <w:szCs w:val="32"/>
              </w:rPr>
              <w:t>clado</w:t>
            </w:r>
            <w:proofErr w:type="spellEnd"/>
            <w:r w:rsidRPr="00CD5631">
              <w:rPr>
                <w:rFonts w:ascii="Times New Roman" w:hAnsi="Times New Roman" w:cs="Times New Roman"/>
                <w:iCs/>
                <w:szCs w:val="32"/>
              </w:rPr>
              <w:t xml:space="preserve"> ya presente tiene ventaja</w:t>
            </w:r>
          </w:p>
        </w:tc>
      </w:tr>
      <w:tr w:rsidR="00864469" w14:paraId="7789EF76" w14:textId="77777777" w:rsidTr="00864469">
        <w:tc>
          <w:tcPr>
            <w:tcW w:w="2831" w:type="dxa"/>
          </w:tcPr>
          <w:p w14:paraId="7A82C137" w14:textId="754077B7"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mut_Spike_P1143L</w:t>
            </w:r>
          </w:p>
        </w:tc>
        <w:tc>
          <w:tcPr>
            <w:tcW w:w="2831" w:type="dxa"/>
          </w:tcPr>
          <w:p w14:paraId="053B6647" w14:textId="453D9E0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+0,191</w:t>
            </w:r>
          </w:p>
        </w:tc>
        <w:tc>
          <w:tcPr>
            <w:tcW w:w="2832" w:type="dxa"/>
          </w:tcPr>
          <w:p w14:paraId="52CF58AE" w14:textId="67E3E71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dominio transmembrana de Spike</w:t>
            </w:r>
          </w:p>
        </w:tc>
      </w:tr>
      <w:tr w:rsidR="00864469" w14:paraId="1ACBFA7D" w14:textId="77777777" w:rsidTr="00864469">
        <w:tc>
          <w:tcPr>
            <w:tcW w:w="2831" w:type="dxa"/>
          </w:tcPr>
          <w:p w14:paraId="01B4836C" w14:textId="2D24CC20" w:rsidR="00864469" w:rsidRPr="00CD5631" w:rsidRDefault="00864469" w:rsidP="00CD5631">
            <w:pPr>
              <w:rPr>
                <w:rFonts w:ascii="Times New Roman" w:hAnsi="Times New Roman" w:cs="Times New Roman"/>
                <w:iCs/>
                <w:szCs w:val="32"/>
              </w:rPr>
            </w:pPr>
            <w:proofErr w:type="spellStart"/>
            <w:r w:rsidRPr="00CD5631">
              <w:rPr>
                <w:rFonts w:ascii="Times New Roman" w:hAnsi="Times New Roman" w:cs="Times New Roman"/>
                <w:iCs/>
                <w:szCs w:val="32"/>
              </w:rPr>
              <w:t>accel</w:t>
            </w:r>
            <w:proofErr w:type="spellEnd"/>
          </w:p>
        </w:tc>
        <w:tc>
          <w:tcPr>
            <w:tcW w:w="2831" w:type="dxa"/>
          </w:tcPr>
          <w:p w14:paraId="05227BF6" w14:textId="77B7A3A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+0,161</w:t>
            </w:r>
          </w:p>
        </w:tc>
        <w:tc>
          <w:tcPr>
            <w:tcW w:w="2832" w:type="dxa"/>
          </w:tcPr>
          <w:p w14:paraId="16FA48EA" w14:textId="5B0DB75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Aceleración del crecimiento, señal de </w:t>
            </w:r>
            <w:proofErr w:type="spellStart"/>
            <w:r w:rsidRPr="00CD5631">
              <w:rPr>
                <w:rFonts w:ascii="Times New Roman" w:hAnsi="Times New Roman" w:cs="Times New Roman"/>
                <w:iCs/>
                <w:szCs w:val="32"/>
              </w:rPr>
              <w:t>momentum</w:t>
            </w:r>
            <w:proofErr w:type="spellEnd"/>
            <w:r w:rsidRPr="00CD5631">
              <w:rPr>
                <w:rFonts w:ascii="Times New Roman" w:hAnsi="Times New Roman" w:cs="Times New Roman"/>
                <w:iCs/>
                <w:szCs w:val="32"/>
              </w:rPr>
              <w:t xml:space="preserve"> emergente</w:t>
            </w:r>
          </w:p>
        </w:tc>
      </w:tr>
    </w:tbl>
    <w:p w14:paraId="699F6A70" w14:textId="77777777" w:rsidR="00CD5631" w:rsidRDefault="00CD5631" w:rsidP="00387013">
      <w:pPr>
        <w:jc w:val="both"/>
        <w:rPr>
          <w:rFonts w:ascii="Times New Roman" w:hAnsi="Times New Roman" w:cs="Times New Roman"/>
        </w:rPr>
      </w:pPr>
    </w:p>
    <w:p w14:paraId="355DDFD2" w14:textId="45806494" w:rsidR="00224928" w:rsidRPr="00224928" w:rsidRDefault="00224928" w:rsidP="00387013">
      <w:pPr>
        <w:jc w:val="both"/>
        <w:rPr>
          <w:rFonts w:ascii="Times New Roman" w:hAnsi="Times New Roman" w:cs="Times New Roman"/>
        </w:rPr>
      </w:pPr>
      <w:r w:rsidRPr="00224928">
        <w:rPr>
          <w:rFonts w:ascii="Times New Roman" w:hAnsi="Times New Roman" w:cs="Times New Roman"/>
        </w:rPr>
        <w:t xml:space="preserve">El análisis de ablación confirma estos resultados: eliminar la frecuencia histórica (freq_t0) reduce el AUC en 0,033; eliminar las mutaciones de Spike, en 0,031; eliminar la trayectoria temporal, en 0,012; y eliminar el contexto geográfico, en solo 0,003. El modelo predice emergencia principalmente a partir de la frecuencia actual del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y su composición mutacional en Spike</w:t>
      </w:r>
      <w:r w:rsidR="00953D39" w:rsidRPr="00953D39">
        <w:rPr>
          <w:rFonts w:ascii="Times New Roman" w:hAnsi="Times New Roman" w:cs="Times New Roman"/>
        </w:rPr>
        <w:t xml:space="preserve">, </w:t>
      </w:r>
      <w:r w:rsidRPr="00224928">
        <w:rPr>
          <w:rFonts w:ascii="Times New Roman" w:hAnsi="Times New Roman" w:cs="Times New Roman"/>
        </w:rPr>
        <w:t>la proteína bajo mayor presión selectiva inmunológica, lo que es biológicamente coherente.</w:t>
      </w:r>
    </w:p>
    <w:p w14:paraId="1255FF1D" w14:textId="0828A3ED"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4.5 Lead-time del UDS como sistema de alerta temprana</w:t>
      </w:r>
    </w:p>
    <w:p w14:paraId="2882F56A" w14:textId="7CD8E288"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Para cada haplotipo discordante detectado en los 28 pacientes, se calculó el lead-time: la diferencia en semanas entre la detección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(por UDS) y el momento en que ese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alcanzó ≥3% de frecuencia global en GISAID. Los resultados principales son:</w:t>
      </w:r>
    </w:p>
    <w:p w14:paraId="2E8E78D5" w14:textId="5F2E5703" w:rsidR="00D57896" w:rsidRPr="00D57896" w:rsidRDefault="00D57896" w:rsidP="00387013">
      <w:pPr>
        <w:jc w:val="both"/>
        <w:rPr>
          <w:rFonts w:ascii="Times New Roman" w:hAnsi="Times New Roman" w:cs="Times New Roman"/>
        </w:rPr>
      </w:pPr>
      <w:r w:rsidRPr="00D57896">
        <w:rPr>
          <w:rFonts w:ascii="Times New Roman" w:hAnsi="Times New Roman" w:cs="Times New Roman"/>
        </w:rPr>
        <w:t>El 100% de los casos biológicamente razonables (lead-time ≤52 semanas) presentan lead-time positivo: el UDS siempre detectó primero. Se identificaron 47 haplotipos con anticipación verificada de ≥4 semanas (categoría P1, máxima confianza) y 51 pares haplotipo×clado con anticipación verificada. Ocho pacientes de los 28 portaban señales de 11 clados futuros distintos. El mejor caso documentado corresponde al clado 22E, detectado en haplotipos minoritarios 50 semanas antes de alcanzar dominancia global. Nota importante: el dataset contiene los haplotipos discordantes cuyas mutaciones coinciden con clados que posteriormente emergieron; los haplotipos que no correspondieron a clados emergentes no están incluidos, por lo que el 100% de lead-time positivo es una consecuencia del diseño retrospectivo, no una tasa de acierto prospectivo.</w:t>
      </w:r>
      <w:proofErr w:type="spellStart"/>
      <w:r w:rsidRPr="00D57896">
        <w:rPr>
          <w:rFonts w:ascii="Times New Roman" w:hAnsi="Times New Roman" w:cs="Times New Roman"/>
        </w:rPr>
      </w:r>
      <w:proofErr w:type="spellEnd"/>
      <w:r w:rsidRPr="00D57896">
        <w:rPr>
          <w:rFonts w:ascii="Times New Roman" w:hAnsi="Times New Roman" w:cs="Times New Roman"/>
        </w:rPr>
      </w:r>
      <w:r w:rsidRPr="00D57896">
        <w:rPr>
          <w:rFonts w:ascii="Times New Roman" w:hAnsi="Times New Roman" w:cs="Times New Roman"/>
        </w:rPr>
      </w:r>
      <w:proofErr w:type="spellStart"/>
      <w:r w:rsidRPr="00D57896">
        <w:rPr>
          <w:rFonts w:ascii="Times New Roman" w:hAnsi="Times New Roman" w:cs="Times New Roman"/>
        </w:rPr>
      </w:r>
      <w:proofErr w:type="spellEnd"/>
      <w:r w:rsidRPr="00D57896">
        <w:rPr>
          <w:rFonts w:ascii="Times New Roman" w:hAnsi="Times New Roman" w:cs="Times New Roman"/>
        </w:rPr>
      </w:r>
    </w:p>
    <w:p w14:paraId="45CD25E5" w14:textId="5B26375C" w:rsidR="00D57896" w:rsidRPr="00D57896" w:rsidRDefault="00D57896" w:rsidP="00387013">
      <w:pPr>
        <w:jc w:val="both"/>
        <w:rPr>
          <w:rFonts w:ascii="Times New Roman" w:hAnsi="Times New Roman" w:cs="Times New Roman"/>
        </w:rPr>
      </w:pPr>
      <w:r w:rsidRPr="00D57896">
        <w:rPr>
          <w:rFonts w:ascii="Times New Roman" w:hAnsi="Times New Roman" w:cs="Times New Roman"/>
        </w:rPr>
        <w:t>Este resultado es consistente con la teoría de cuasiespecies: el espectro mutacional intrapaciente actúa como reservorio de variantes adaptadas que la evolución viral ya está explorando, pero que el cuello de botella de transmisión mantiene en baja frecuencia a nivel poblacional. Los datos disponibles validan esta hipótesis de forma retrospectiva. Para operacionalizarla como sistema de alerta prospectivo sería necesario un estudio diseñado específicamente: cohorte amplia con todos los haplotipos discordantes (no solo los que emergieron), seguimiento longitudinal, y recogida prospectiva de muestras.</w:t>
      </w:r>
      <w:proofErr w:type="spellStart"/>
      <w:r w:rsidRPr="00D57896">
        <w:rPr>
          <w:rFonts w:ascii="Times New Roman" w:hAnsi="Times New Roman" w:cs="Times New Roman"/>
        </w:rPr>
      </w:r>
      <w:proofErr w:type="spellEnd"/>
      <w:r w:rsidRPr="00D57896">
        <w:rPr>
          <w:rFonts w:ascii="Times New Roman" w:hAnsi="Times New Roman" w:cs="Times New Roman"/>
        </w:rPr>
      </w:r>
      <w:proofErr w:type="spellStart"/>
      <w:r w:rsidRPr="00D57896">
        <w:rPr>
          <w:rFonts w:ascii="Times New Roman" w:hAnsi="Times New Roman" w:cs="Times New Roman"/>
        </w:rPr>
      </w:r>
      <w:proofErr w:type="spellEnd"/>
      <w:r w:rsidRPr="00D57896">
        <w:rPr>
          <w:rFonts w:ascii="Times New Roman" w:hAnsi="Times New Roman" w:cs="Times New Roman"/>
        </w:rPr>
      </w:r>
    </w:p>
    <w:p w14:paraId="38CE9F4C" w14:textId="69C1F62E"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4.6 Validación prospectiva real (febrero–</w:t>
      </w:r>
      <w:r w:rsidRPr="00DE4887">
        <w:rPr>
          <w:rFonts w:ascii="Times New Roman" w:hAnsi="Times New Roman" w:cs="Times New Roman"/>
          <w:szCs w:val="44"/>
        </w:rPr>
        <w:t>abril</w:t>
      </w:r>
      <w:r w:rsidRPr="00A43B0F">
        <w:rPr>
          <w:rFonts w:ascii="Times New Roman" w:hAnsi="Times New Roman" w:cs="Times New Roman"/>
          <w:sz w:val="44"/>
          <w:szCs w:val="44"/>
        </w:rPr>
        <w:t xml:space="preserve"> </w:t>
      </w:r>
      <w:r w:rsidRPr="00D57896">
        <w:rPr>
          <w:rFonts w:ascii="Times New Roman" w:hAnsi="Times New Roman" w:cs="Times New Roman"/>
        </w:rPr>
        <w:t>2026)</w:t>
      </w:r>
    </w:p>
    <w:p w14:paraId="2A9A2326" w14:textId="76432A10" w:rsidR="00D57896" w:rsidRPr="00D57896" w:rsidRDefault="00D57896" w:rsidP="00387013">
      <w:pPr>
        <w:jc w:val="both"/>
        <w:rPr>
          <w:rFonts w:ascii="Times New Roman" w:hAnsi="Times New Roman" w:cs="Times New Roman"/>
        </w:rPr>
      </w:pPr>
      <w:r w:rsidRPr="00D57896">
        <w:rPr>
          <w:rFonts w:ascii="Times New Roman" w:hAnsi="Times New Roman" w:cs="Times New Roman"/>
        </w:rPr>
        <w:t>Se realizó una validación prospectiva del ranking generado en febrero de 2026 (139 clados activos) contra las frecuencias reales observadas en abril de 2026:</w:t>
      </w:r>
    </w:p>
    <w:p w14:paraId="57A4E685" w14:textId="110EBF44" w:rsidR="00A43B0F" w:rsidRPr="000A1FB6" w:rsidRDefault="00A43B0F" w:rsidP="00A43B0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Pr="000A1FB6">
        <w:rPr>
          <w:rFonts w:ascii="Times New Roman" w:hAnsi="Times New Roman" w:cs="Times New Roman"/>
          <w:noProof/>
        </w:rPr>
        <w:t>4</w:t>
      </w:r>
      <w:r w:rsidRPr="000A1FB6">
        <w:rPr>
          <w:rFonts w:ascii="Times New Roman" w:hAnsi="Times New Roman" w:cs="Times New Roman"/>
        </w:rPr>
        <w:fldChar w:fldCharType="end"/>
      </w:r>
      <w:r w:rsidRPr="000A1FB6">
        <w:rPr>
          <w:rFonts w:ascii="Times New Roman" w:hAnsi="Times New Roman" w:cs="Times New Roman"/>
        </w:rPr>
        <w:t xml:space="preserve"> - Validación prospectiva: ranking de febrero 2026 vs. frecuencias reales en abril 2026 (selección de posiciones representativas).</w:t>
      </w:r>
    </w:p>
    <w:tbl>
      <w:tblPr>
        <w:tblStyle w:val="Tablaconcuadrcula"/>
        <w:tblW w:w="8529" w:type="dxa"/>
        <w:tblLook w:val="04A0" w:firstRow="1" w:lastRow="0" w:firstColumn="1" w:lastColumn="0" w:noHBand="0" w:noVBand="1"/>
      </w:tblPr>
      <w:tblGrid>
        <w:gridCol w:w="1705"/>
        <w:gridCol w:w="1706"/>
        <w:gridCol w:w="1706"/>
        <w:gridCol w:w="1706"/>
        <w:gridCol w:w="1706"/>
      </w:tblGrid>
      <w:tr w:rsidR="006C0162" w14:paraId="598E94B8" w14:textId="77777777" w:rsidTr="00A43B0F">
        <w:trPr>
          <w:trHeight w:val="685"/>
        </w:trPr>
        <w:tc>
          <w:tcPr>
            <w:tcW w:w="1705" w:type="dxa"/>
          </w:tcPr>
          <w:p w14:paraId="363719DF" w14:textId="56FB510C"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Rank</w:t>
            </w:r>
          </w:p>
        </w:tc>
        <w:tc>
          <w:tcPr>
            <w:tcW w:w="1706" w:type="dxa"/>
          </w:tcPr>
          <w:p w14:paraId="7AE85979" w14:textId="0261263C" w:rsidR="006C0162" w:rsidRPr="00A43B0F" w:rsidRDefault="006C0162" w:rsidP="00387013">
            <w:pPr>
              <w:jc w:val="both"/>
              <w:rPr>
                <w:rFonts w:ascii="Times New Roman" w:hAnsi="Times New Roman" w:cs="Times New Roman"/>
                <w:b/>
                <w:iCs/>
                <w:szCs w:val="36"/>
              </w:rPr>
            </w:pPr>
            <w:proofErr w:type="spellStart"/>
            <w:r w:rsidRPr="00A43B0F">
              <w:rPr>
                <w:rFonts w:ascii="Times New Roman" w:hAnsi="Times New Roman" w:cs="Times New Roman"/>
                <w:b/>
                <w:iCs/>
                <w:szCs w:val="36"/>
              </w:rPr>
              <w:t>Clado</w:t>
            </w:r>
            <w:proofErr w:type="spellEnd"/>
          </w:p>
        </w:tc>
        <w:tc>
          <w:tcPr>
            <w:tcW w:w="1706" w:type="dxa"/>
          </w:tcPr>
          <w:p w14:paraId="3EBD7284" w14:textId="64047C59"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Feb 26 %</w:t>
            </w:r>
          </w:p>
        </w:tc>
        <w:tc>
          <w:tcPr>
            <w:tcW w:w="1706" w:type="dxa"/>
          </w:tcPr>
          <w:p w14:paraId="04DEF9AA" w14:textId="1B235726"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Abr 26 (familia) %</w:t>
            </w:r>
          </w:p>
        </w:tc>
        <w:tc>
          <w:tcPr>
            <w:tcW w:w="1706" w:type="dxa"/>
          </w:tcPr>
          <w:p w14:paraId="791C9BB6" w14:textId="35D31E1A"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Veredicto</w:t>
            </w:r>
          </w:p>
        </w:tc>
      </w:tr>
      <w:tr w:rsidR="006C0162" w14:paraId="0DB2E8D1" w14:textId="77777777" w:rsidTr="00A43B0F">
        <w:trPr>
          <w:trHeight w:val="342"/>
        </w:trPr>
        <w:tc>
          <w:tcPr>
            <w:tcW w:w="1705" w:type="dxa"/>
          </w:tcPr>
          <w:p w14:paraId="4DEC3D92" w14:textId="7F36A85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w:t>
            </w:r>
          </w:p>
        </w:tc>
        <w:tc>
          <w:tcPr>
            <w:tcW w:w="1706" w:type="dxa"/>
          </w:tcPr>
          <w:p w14:paraId="7B02E500" w14:textId="6EE58DE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RE.2.2.4</w:t>
            </w:r>
          </w:p>
        </w:tc>
        <w:tc>
          <w:tcPr>
            <w:tcW w:w="1706" w:type="dxa"/>
          </w:tcPr>
          <w:p w14:paraId="39181E79" w14:textId="77812DC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6D55C9F7" w14:textId="31C6364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3,4% (RE*)</w:t>
            </w:r>
          </w:p>
        </w:tc>
        <w:tc>
          <w:tcPr>
            <w:tcW w:w="1706" w:type="dxa"/>
          </w:tcPr>
          <w:p w14:paraId="0F3209E9" w14:textId="1C1D664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Marginal</w:t>
            </w:r>
          </w:p>
        </w:tc>
      </w:tr>
      <w:tr w:rsidR="006C0162" w14:paraId="181B51E3" w14:textId="77777777" w:rsidTr="00A43B0F">
        <w:trPr>
          <w:trHeight w:val="327"/>
        </w:trPr>
        <w:tc>
          <w:tcPr>
            <w:tcW w:w="1705" w:type="dxa"/>
          </w:tcPr>
          <w:p w14:paraId="239A641B" w14:textId="2EE8E6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2</w:t>
            </w:r>
          </w:p>
        </w:tc>
        <w:tc>
          <w:tcPr>
            <w:tcW w:w="1706" w:type="dxa"/>
          </w:tcPr>
          <w:p w14:paraId="74FF32E7" w14:textId="37E7D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XFG.2.3.1</w:t>
            </w:r>
          </w:p>
        </w:tc>
        <w:tc>
          <w:tcPr>
            <w:tcW w:w="1706" w:type="dxa"/>
          </w:tcPr>
          <w:p w14:paraId="7D50B29D" w14:textId="53C35FB8"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0,21%</w:t>
            </w:r>
          </w:p>
        </w:tc>
        <w:tc>
          <w:tcPr>
            <w:tcW w:w="1706" w:type="dxa"/>
          </w:tcPr>
          <w:p w14:paraId="1BE1240D" w14:textId="093BF77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730D9AC" w14:textId="5C91D0C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72E34E2E" w14:textId="77777777" w:rsidTr="00A43B0F">
        <w:trPr>
          <w:trHeight w:val="342"/>
        </w:trPr>
        <w:tc>
          <w:tcPr>
            <w:tcW w:w="1705" w:type="dxa"/>
          </w:tcPr>
          <w:p w14:paraId="6B211FFE" w14:textId="6103F4E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w:t>
            </w:r>
          </w:p>
        </w:tc>
        <w:tc>
          <w:tcPr>
            <w:tcW w:w="1706" w:type="dxa"/>
          </w:tcPr>
          <w:p w14:paraId="70D54BC1" w14:textId="6FD7371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QC.1</w:t>
            </w:r>
          </w:p>
        </w:tc>
        <w:tc>
          <w:tcPr>
            <w:tcW w:w="1706" w:type="dxa"/>
          </w:tcPr>
          <w:p w14:paraId="41C82E50" w14:textId="2E69E3F2"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0,31%</w:t>
            </w:r>
          </w:p>
        </w:tc>
        <w:tc>
          <w:tcPr>
            <w:tcW w:w="1706" w:type="dxa"/>
          </w:tcPr>
          <w:p w14:paraId="37A58F00" w14:textId="2F5A8C5D"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w:t>
            </w:r>
          </w:p>
        </w:tc>
        <w:tc>
          <w:tcPr>
            <w:tcW w:w="1706" w:type="dxa"/>
          </w:tcPr>
          <w:p w14:paraId="656BC7F7" w14:textId="3FC79045"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Fallo</w:t>
            </w:r>
          </w:p>
        </w:tc>
      </w:tr>
      <w:tr w:rsidR="006C0162" w14:paraId="3B836C0B" w14:textId="77777777" w:rsidTr="00A43B0F">
        <w:trPr>
          <w:trHeight w:val="342"/>
        </w:trPr>
        <w:tc>
          <w:tcPr>
            <w:tcW w:w="1705" w:type="dxa"/>
          </w:tcPr>
          <w:p w14:paraId="153B39CB" w14:textId="65F681A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4</w:t>
            </w:r>
          </w:p>
        </w:tc>
        <w:tc>
          <w:tcPr>
            <w:tcW w:w="1706" w:type="dxa"/>
          </w:tcPr>
          <w:p w14:paraId="1C24D69F" w14:textId="3CD8D4A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XFG.6.3</w:t>
            </w:r>
          </w:p>
        </w:tc>
        <w:tc>
          <w:tcPr>
            <w:tcW w:w="1706" w:type="dxa"/>
          </w:tcPr>
          <w:p w14:paraId="4C4A5C3D" w14:textId="65632DE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5BC17F21" w14:textId="28E6222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936EF34" w14:textId="1FB94DC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4739191" w14:textId="77777777" w:rsidTr="00A43B0F">
        <w:trPr>
          <w:trHeight w:val="342"/>
        </w:trPr>
        <w:tc>
          <w:tcPr>
            <w:tcW w:w="1705" w:type="dxa"/>
          </w:tcPr>
          <w:p w14:paraId="3BD4A6C8" w14:textId="22EA48D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13</w:t>
            </w:r>
          </w:p>
        </w:tc>
        <w:tc>
          <w:tcPr>
            <w:tcW w:w="1706" w:type="dxa"/>
          </w:tcPr>
          <w:p w14:paraId="680F16C1" w14:textId="10F9A07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w:t>
            </w:r>
          </w:p>
        </w:tc>
        <w:tc>
          <w:tcPr>
            <w:tcW w:w="1706" w:type="dxa"/>
          </w:tcPr>
          <w:p w14:paraId="25E8CA9F" w14:textId="538D19A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0,32%</w:t>
            </w:r>
          </w:p>
        </w:tc>
        <w:tc>
          <w:tcPr>
            <w:tcW w:w="1706" w:type="dxa"/>
          </w:tcPr>
          <w:p w14:paraId="6EB20DCD" w14:textId="671E904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3FC85BB9" w14:textId="1A9302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92E7997" w14:textId="77777777" w:rsidTr="00A43B0F">
        <w:trPr>
          <w:trHeight w:val="342"/>
        </w:trPr>
        <w:tc>
          <w:tcPr>
            <w:tcW w:w="1705" w:type="dxa"/>
          </w:tcPr>
          <w:p w14:paraId="60A4147B" w14:textId="14DBDC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15</w:t>
            </w:r>
          </w:p>
        </w:tc>
        <w:tc>
          <w:tcPr>
            <w:tcW w:w="1706" w:type="dxa"/>
          </w:tcPr>
          <w:p w14:paraId="11B2A45A" w14:textId="5195DA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XDV.1.5.1</w:t>
            </w:r>
          </w:p>
        </w:tc>
        <w:tc>
          <w:tcPr>
            <w:tcW w:w="1706" w:type="dxa"/>
          </w:tcPr>
          <w:p w14:paraId="0D57D93B" w14:textId="7CDB2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0,23%</w:t>
            </w:r>
          </w:p>
        </w:tc>
        <w:tc>
          <w:tcPr>
            <w:tcW w:w="1706" w:type="dxa"/>
          </w:tcPr>
          <w:p w14:paraId="7E355950" w14:textId="7E07AB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5FB04AB2" w14:textId="073A61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bl>
    <w:p w14:paraId="00BB0571" w14:textId="022F2524" w:rsidR="00D57896" w:rsidRPr="00D57896" w:rsidRDefault="00D57896" w:rsidP="00387013">
      <w:pPr>
        <w:jc w:val="both"/>
        <w:rPr>
          <w:rFonts w:ascii="Times New Roman" w:hAnsi="Times New Roman" w:cs="Times New Roman"/>
          <w:i/>
          <w:sz w:val="20"/>
        </w:rPr>
      </w:pPr>
    </w:p>
    <w:p w14:paraId="334AC65B" w14:textId="1D7A80BD"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Las familias dominantes reales en </w:t>
      </w:r>
      <w:r w:rsidRPr="00DE4887">
        <w:rPr>
          <w:rFonts w:ascii="Times New Roman" w:hAnsi="Times New Roman" w:cs="Times New Roman"/>
          <w:szCs w:val="36"/>
        </w:rPr>
        <w:t>abril</w:t>
      </w:r>
      <w:r w:rsidRPr="00A43B0F">
        <w:rPr>
          <w:rFonts w:ascii="Times New Roman" w:hAnsi="Times New Roman" w:cs="Times New Roman"/>
          <w:sz w:val="36"/>
          <w:szCs w:val="36"/>
        </w:rPr>
        <w:t xml:space="preserve"> </w:t>
      </w:r>
      <w:r w:rsidRPr="00D57896">
        <w:rPr>
          <w:rFonts w:ascii="Times New Roman" w:hAnsi="Times New Roman" w:cs="Times New Roman"/>
        </w:rPr>
        <w:t>2026 fueron XFG* (70% de frecuencia global) y XDV* (16,4%). El modelo tenía 5 posiciones XFG en el top-15 y 2 posiciones XDV (puestos 13 y 15). El sistema identificó correctamente las familias virales que dominarían, funcionando como herramienta de vigilancia familiar</w:t>
      </w:r>
      <w:r w:rsidR="00953D39" w:rsidRPr="00953D39">
        <w:rPr>
          <w:rFonts w:ascii="Times New Roman" w:hAnsi="Times New Roman" w:cs="Times New Roman"/>
        </w:rPr>
        <w:t xml:space="preserve">, </w:t>
      </w:r>
      <w:r w:rsidRPr="00D57896">
        <w:rPr>
          <w:rFonts w:ascii="Times New Roman" w:hAnsi="Times New Roman" w:cs="Times New Roman"/>
        </w:rPr>
        <w:t xml:space="preserve">no como predictor exacto de </w:t>
      </w:r>
      <w:proofErr w:type="spellStart"/>
      <w:r w:rsidRPr="00D57896">
        <w:rPr>
          <w:rFonts w:ascii="Times New Roman" w:hAnsi="Times New Roman" w:cs="Times New Roman"/>
        </w:rPr>
        <w:t>sublinaje</w:t>
      </w:r>
      <w:proofErr w:type="spellEnd"/>
      <w:r w:rsidRPr="00D57896">
        <w:rPr>
          <w:rFonts w:ascii="Times New Roman" w:hAnsi="Times New Roman" w:cs="Times New Roman"/>
        </w:rPr>
        <w:t>.</w:t>
      </w:r>
    </w:p>
    <w:p>
      <w:pPr>
        <w:pStyle w:val="Ttulo2"/>
      </w:pPr>
      <w:r>
        <w:t>4.7 Análisis de supervivencia y predicción combinada</w:t>
      </w:r>
    </w:p>
    <w:p>
      <w:pPr/>
      <w:r>
        <w:t>De las 107 familias Pango que superaron el umbral de detección (≥0,5% de frecuencia global) durante los 5 años de pandemia, 23 (21,5%) alcanzaron el umbral de dominancia (≥10%). Las 84 familias restantes (78,5%) se clasifican como censuradas. El modelo Cox PH ajustado alcanza un índice de concordancia C = 0,740.</w:t>
      </w:r>
    </w:p>
    <w:p>
      <w:pPr/>
      <w:r>
        <w:t>Los hazard ratios muestran que los predictores estadísticamente significativos son la frecuencia en el momento de detección (HR = 14,23; p = 0,003) y la pendiente de crecimiento inicial (HR = 1,58; p = 0,019). La época pandémica no resultó significativa (p = 0,191), lo que indica que la velocidad de crecimiento inicial es el predictor universal de dominancia con independencia del contexto inmunológico global. Las curvas de Kaplan-Meier muestran que variantes de eras recientes no dominan más rápido en términos absolutos, pero sí tienen mayor hazard instantáneo cuando se controla por las covariables.</w:t>
      </w:r>
    </w:p>
    <w:p>
      <w:pPr/>
      <w:r>
        <w:t>El backtesting sobre las variantes pandémicas históricas confirma que el modelo asigna probabilidades positivas desde el momento de detección: Delta (P(dom≤26sem) = 0,548), XBB (P = 0,204; dominancia real en 14 semanas), JN.1 (P = 0,213; 7 semanas) y KP (P = 0,237; 7 semanas). La familia BA/Omicron presenta una fecha de detección artefactual (diciembre 2019) por reclasificación retrospectiva en GISAID.</w:t>
      </w:r>
    </w:p>
    <w:p>
      <w:pPr/>
      <w:r>
        <w:t>En el análisis prospectivo sobre datos de enero de 2026, de 50 candidatos detectados desde junio de 2023, solo 4 permanecían activas en febrero de 2026; las 46 restantes se habían extinguido sin dominar, evidenciando la dinámica "winner takes all" del SARS-CoV-2. La familia LB fue el caso más cercano al umbral, con una frecuencia máxima global de 9,4% antes de extinguirse. La predicción combinada T+4 + Cox identifica a PQ como el candidato de mayor señal en enero de 2026 (señal Moderada: P(T+4) = 0,32; P(dom≤26sem) = 0,27). Ninguna familia alcanza señal Alta, coherente con la ausencia de una emergencia de la magnitud de Delta u Omicron en el periodo analizado.</w:t>
      </w:r>
    </w:p>
    <w:p w14:paraId="50F8BEF0" w14:textId="77777777" w:rsidR="004677B6" w:rsidRPr="004677B6" w:rsidRDefault="004677B6" w:rsidP="00387013">
      <w:pPr>
        <w:jc w:val="both"/>
        <w:rPr>
          <w:rFonts w:ascii="Times New Roman" w:hAnsi="Times New Roman" w:cs="Times New Roman"/>
        </w:rPr>
      </w:pPr>
    </w:p>
    <w:p w14:paraId="2DC33186" w14:textId="36E3FC60" w:rsidR="004677B6" w:rsidRDefault="004677B6" w:rsidP="00387013">
      <w:pPr>
        <w:jc w:val="both"/>
        <w:rPr>
          <w:rFonts w:ascii="Times New Roman" w:hAnsi="Times New Roman" w:cs="Times New Roman"/>
          <w:i/>
          <w:sz w:val="20"/>
        </w:rPr>
      </w:pPr>
      <w:r>
        <w:rPr>
          <w:rFonts w:ascii="Times New Roman" w:hAnsi="Times New Roman" w:cs="Times New Roman"/>
          <w:i/>
          <w:sz w:val="20"/>
        </w:rPr>
        <w:br w:type="page"/>
      </w:r>
    </w:p>
    <w:p w14:paraId="3DDAB197" w14:textId="09DBC2E7" w:rsidR="004677B6" w:rsidRPr="004677B6" w:rsidRDefault="004677B6" w:rsidP="00387013">
      <w:pPr>
        <w:pStyle w:val="Ttulo1"/>
        <w:jc w:val="both"/>
        <w:rPr>
          <w:rFonts w:ascii="Times New Roman" w:hAnsi="Times New Roman" w:cs="Times New Roman"/>
        </w:rPr>
      </w:pPr>
      <w:r w:rsidRPr="004677B6">
        <w:rPr>
          <w:rFonts w:ascii="Times New Roman" w:hAnsi="Times New Roman" w:cs="Times New Roman"/>
        </w:rPr>
        <w:lastRenderedPageBreak/>
        <w:t>5. Discusión</w:t>
      </w:r>
    </w:p>
    <w:p w14:paraId="3C0648A1" w14:textId="581D2519"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5.1 Coherencia biológica de las predicciones</w:t>
      </w:r>
    </w:p>
    <w:p w14:paraId="37E5D2C8" w14:textId="08CC0893" w:rsidR="004677B6" w:rsidRPr="004677B6" w:rsidRDefault="004677B6" w:rsidP="00387013">
      <w:pPr>
        <w:jc w:val="both"/>
        <w:rPr>
          <w:rFonts w:ascii="Times New Roman" w:hAnsi="Times New Roman" w:cs="Times New Roman"/>
        </w:rPr>
      </w:pPr>
      <w:r w:rsidRPr="004677B6">
        <w:rPr>
          <w:rFonts w:ascii="Times New Roman" w:hAnsi="Times New Roman" w:cs="Times New Roman"/>
        </w:rPr>
        <w:t>El análisis de importancia global confirma que las tres features más informativas son variables de trayectoria dinámica: freq_t0 (frecuencia actual, SHAP = 0,378), slope_8w (tendencia a largo plazo, SHAP = 0,302) y slope_4w (tendencia reciente, SHAP = 0,268). La interpretación biológica es coherente: un linaje que ya tiene alta frecuencia, está creciendo consistentemente a 8 semanas y acelera en las últimas 4 semanas tiene todas las señales de una variante emergente. Este resultado es consistente con los modelos de competencia viral: la selección positiva se manifiesta como crecimiento logístico sostenido antes de la dominancia.</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
    <w:p w14:paraId="1EC1F796" w14:textId="5E56482F" w:rsidR="004677B6" w:rsidRPr="004677B6" w:rsidRDefault="004677B6" w:rsidP="00387013">
      <w:pPr>
        <w:jc w:val="both"/>
        <w:rPr>
          <w:rFonts w:ascii="Times New Roman" w:hAnsi="Times New Roman" w:cs="Times New Roman"/>
        </w:rPr>
      </w:pPr>
      <w:r w:rsidRPr="004677B6">
        <w:rPr>
          <w:rFonts w:ascii="Times New Roman" w:hAnsi="Times New Roman" w:cs="Times New Roman"/>
        </w:rPr>
        <w:t>La segunda mutación más destacada funcionalmente es NSP3 T24I (posición 21 de importancia global). NSP3 es la proteína no estructural más grande del virus (~200 kDa), con funciones de proteasa (PLpro), antagonista inmune (elimina marcas de ubiquitina bloqueando la respuesta de interferón tipo I) y formación del orgánulo de replicación. La posición T24 se localiza en el dominio ubiquitin-like (Ubl1) del extremo N-terminal de NSP3, implicado en la interacción con proteínas del hospedador. Su aparición en múltiples sublinajes circulantes sugiere presión selectiva sobre este dominio, aunque su caracterización funcional específica requiere experimentación adicional.</w:t>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proofErr w:type="spellStart"/>
      <w:r w:rsidRPr="004677B6">
        <w:rPr>
          <w:rFonts w:ascii="Times New Roman" w:hAnsi="Times New Roman" w:cs="Times New Roman"/>
        </w:rPr>
      </w:r>
      <w:proofErr w:type="spellEnd"/>
      <w:r w:rsidRPr="004677B6">
        <w:rPr>
          <w:rFonts w:ascii="Times New Roman" w:hAnsi="Times New Roman" w:cs="Times New Roman"/>
        </w:rPr>
      </w:r>
      <w:r w:rsidR="00953D39" w:rsidRPr="00953D39">
        <w:rPr>
          <w:rFonts w:ascii="Times New Roman" w:hAnsi="Times New Roman" w:cs="Times New Roman"/>
        </w:rPr>
      </w:r>
      <w:r w:rsidRPr="004677B6">
        <w:rPr>
          <w:rFonts w:ascii="Times New Roman" w:hAnsi="Times New Roman" w:cs="Times New Roman"/>
        </w:rPr>
      </w:r>
    </w:p>
    <w:p w14:paraId="1B82A820" w14:textId="7E7898DB"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5.2 Contextualización del rendimiento</w:t>
      </w:r>
    </w:p>
    <w:p w14:paraId="03CADA74" w14:textId="308201E7" w:rsidR="004677B6" w:rsidRPr="004677B6" w:rsidRDefault="004677B6" w:rsidP="00387013">
      <w:pPr>
        <w:jc w:val="both"/>
        <w:rPr>
          <w:rFonts w:ascii="Times New Roman" w:hAnsi="Times New Roman" w:cs="Times New Roman"/>
        </w:rPr>
      </w:pPr>
      <w:r w:rsidRPr="004677B6">
        <w:rPr>
          <w:rFonts w:ascii="Times New Roman" w:hAnsi="Times New Roman" w:cs="Times New Roman"/>
        </w:rPr>
        <w:t>Maher et al. (</w:t>
      </w:r>
      <w:proofErr w:type="spellStart"/>
      <w:r w:rsidRPr="004677B6">
        <w:rPr>
          <w:rFonts w:ascii="Times New Roman" w:hAnsi="Times New Roman" w:cs="Times New Roman"/>
        </w:rPr>
        <w:t>Science</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Translational</w:t>
      </w:r>
      <w:proofErr w:type="spellEnd"/>
      <w:r w:rsidRPr="004677B6">
        <w:rPr>
          <w:rFonts w:ascii="Times New Roman" w:hAnsi="Times New Roman" w:cs="Times New Roman"/>
        </w:rPr>
        <w:t xml:space="preserve"> Medicine, 2022) alcanzaron un AUC de 0,92–0,97 con 4,5 millones de secuencias y </w:t>
      </w:r>
      <w:proofErr w:type="spellStart"/>
      <w:r w:rsidRPr="004677B6">
        <w:rPr>
          <w:rFonts w:ascii="Times New Roman" w:hAnsi="Times New Roman" w:cs="Times New Roman"/>
        </w:rPr>
        <w:t>features</w:t>
      </w:r>
      <w:proofErr w:type="spellEnd"/>
      <w:r w:rsidRPr="004677B6">
        <w:rPr>
          <w:rFonts w:ascii="Times New Roman" w:hAnsi="Times New Roman" w:cs="Times New Roman"/>
        </w:rPr>
        <w:t xml:space="preserve"> mucho más ricos (energía de unión a ACE2, escape a anticuerpos medido experimentalmente). La diferencia con el AUC de 0,82 de este trabajo se explica porque el </w:t>
      </w:r>
      <w:r w:rsidR="00E41200">
        <w:rPr>
          <w:rFonts w:ascii="Times New Roman" w:hAnsi="Times New Roman" w:cs="Times New Roman"/>
        </w:rPr>
        <w:t>trabajo</w:t>
      </w:r>
      <w:r w:rsidRPr="004677B6">
        <w:rPr>
          <w:rFonts w:ascii="Times New Roman" w:hAnsi="Times New Roman" w:cs="Times New Roman"/>
        </w:rPr>
        <w:t xml:space="preserve"> usa exclusivamente frecuencias y mutaciones de secuencia, sin datos experimentales de fitness. Los modelos de fitness de </w:t>
      </w:r>
      <w:proofErr w:type="spellStart"/>
      <w:r w:rsidRPr="004677B6">
        <w:rPr>
          <w:rFonts w:ascii="Times New Roman" w:hAnsi="Times New Roman" w:cs="Times New Roman"/>
        </w:rPr>
        <w:t>Nextstrain</w:t>
      </w:r>
      <w:proofErr w:type="spellEnd"/>
      <w:r w:rsidRPr="004677B6">
        <w:rPr>
          <w:rFonts w:ascii="Times New Roman" w:hAnsi="Times New Roman" w:cs="Times New Roman"/>
        </w:rPr>
        <w:t xml:space="preserve"> alcanzan un AUC implícitamente alto pero operan en ventanas de 30 días. Un AUC de 0,82 con </w:t>
      </w:r>
      <w:proofErr w:type="spellStart"/>
      <w:r w:rsidRPr="004677B6">
        <w:rPr>
          <w:rFonts w:ascii="Times New Roman" w:hAnsi="Times New Roman" w:cs="Times New Roman"/>
        </w:rPr>
        <w:t>walk</w:t>
      </w:r>
      <w:proofErr w:type="spellEnd"/>
      <w:r w:rsidRPr="004677B6">
        <w:rPr>
          <w:rFonts w:ascii="Times New Roman" w:hAnsi="Times New Roman" w:cs="Times New Roman"/>
        </w:rPr>
        <w:t>-forward medio de 0,80 en cuatro oleadas pandémicas es un resultado razonable para un problema difícil y demuestra que el modelo generaliza a oleadas que no vio durante el entrenamiento.</w:t>
      </w:r>
    </w:p>
    <w:p w14:paraId="6F0E7996" w14:textId="195B6CED"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5.3 Interpretación del lead-time</w:t>
      </w:r>
    </w:p>
    <w:p w14:paraId="1FBC1B6C" w14:textId="6D1642D8" w:rsidR="004677B6" w:rsidRPr="004677B6" w:rsidRDefault="00173607" w:rsidP="00387013">
      <w:pPr>
        <w:jc w:val="both"/>
        <w:rPr>
          <w:rFonts w:ascii="Times New Roman" w:hAnsi="Times New Roman" w:cs="Times New Roman"/>
        </w:rPr>
      </w:pPr>
      <w:r w:rsidRPr="00173607">
        <w:rPr>
          <w:rFonts w:ascii="Times New Roman" w:hAnsi="Times New Roman" w:cs="Times New Roman"/>
        </w:rPr>
        <w:t>El lead-time de 14-50 semanas requiere</w:t>
      </w:r>
      <w:r w:rsidR="004677B6" w:rsidRPr="004677B6">
        <w:rPr>
          <w:rFonts w:ascii="Times New Roman" w:hAnsi="Times New Roman" w:cs="Times New Roman"/>
        </w:rPr>
        <w:t xml:space="preserve"> una interpretación matizada. La interpretación correcta es: «las mutaciones detectadas en estos 28 pacientes ya circulaban en la población viral global, y el UDS las detectó localmente con semanas de anticipación respecto a cuando se hicieron visibles en GISAID.» La interpretación incorrecta sería atribuir causalidad directa: estos 28 pacientes no causaron la emergencia global de las variantes.</w:t>
      </w:r>
    </w:p>
    <w:p w14:paraId="16C850BB" w14:textId="04985150" w:rsidR="004677B6" w:rsidRPr="004677B6" w:rsidRDefault="004677B6" w:rsidP="00387013">
      <w:pPr>
        <w:jc w:val="both"/>
        <w:rPr>
          <w:rFonts w:ascii="Times New Roman" w:hAnsi="Times New Roman" w:cs="Times New Roman"/>
        </w:rPr>
      </w:pPr>
      <w:r w:rsidRPr="004677B6">
        <w:rPr>
          <w:rFonts w:ascii="Times New Roman" w:hAnsi="Times New Roman" w:cs="Times New Roman"/>
        </w:rPr>
        <w:t>Esta distinción es importante por el cuello de botella de transmisión: durante la transmisión de SARS-CoV-2, típicamente solo 1</w:t>
      </w:r>
      <w:r w:rsidR="006D6A9B">
        <w:rPr>
          <w:rFonts w:ascii="Times New Roman" w:hAnsi="Times New Roman" w:cs="Times New Roman"/>
        </w:rPr>
        <w:t>-</w:t>
      </w:r>
      <w:r w:rsidRPr="004677B6">
        <w:rPr>
          <w:rFonts w:ascii="Times New Roman" w:hAnsi="Times New Roman" w:cs="Times New Roman"/>
        </w:rPr>
        <w:t xml:space="preserve">8 viriones fundan la infección en el </w:t>
      </w:r>
      <w:r w:rsidRPr="004677B6">
        <w:rPr>
          <w:rFonts w:ascii="Times New Roman" w:hAnsi="Times New Roman" w:cs="Times New Roman"/>
        </w:rPr>
        <w:lastRenderedPageBreak/>
        <w:t xml:space="preserve">nuevo hospedador. Estudios en hogares (Braun et al., PLOS </w:t>
      </w:r>
      <w:proofErr w:type="spellStart"/>
      <w:r w:rsidRPr="004677B6">
        <w:rPr>
          <w:rFonts w:ascii="Times New Roman" w:hAnsi="Times New Roman" w:cs="Times New Roman"/>
        </w:rPr>
        <w:t>Pathogens</w:t>
      </w:r>
      <w:proofErr w:type="spellEnd"/>
      <w:r w:rsidRPr="004677B6">
        <w:rPr>
          <w:rFonts w:ascii="Times New Roman" w:hAnsi="Times New Roman" w:cs="Times New Roman"/>
        </w:rPr>
        <w:t xml:space="preserve">, 2021) muestran que las variantes minoritarias </w:t>
      </w:r>
      <w:proofErr w:type="spellStart"/>
      <w:r w:rsidRPr="004677B6">
        <w:rPr>
          <w:rFonts w:ascii="Times New Roman" w:hAnsi="Times New Roman" w:cs="Times New Roman"/>
        </w:rPr>
        <w:t>intrapaciente</w:t>
      </w:r>
      <w:proofErr w:type="spellEnd"/>
      <w:r w:rsidRPr="004677B6">
        <w:rPr>
          <w:rFonts w:ascii="Times New Roman" w:hAnsi="Times New Roman" w:cs="Times New Roman"/>
        </w:rPr>
        <w:t xml:space="preserve"> raramente se transmiten incluso entre convivientes. El lead-time debe formularse como detección temprana de diversidad viral preexistente en la población, no como predicción causal de emergencia.</w:t>
      </w:r>
    </w:p>
    <w:p w14:paraId="509CFF8F" w14:textId="3204F282" w:rsidR="00077267" w:rsidRPr="00077267" w:rsidRDefault="00077267" w:rsidP="00387013">
      <w:pPr>
        <w:pStyle w:val="Ttulo2"/>
        <w:jc w:val="both"/>
        <w:rPr>
          <w:rFonts w:ascii="Times New Roman" w:hAnsi="Times New Roman" w:cs="Times New Roman"/>
        </w:rPr>
      </w:pPr>
      <w:r w:rsidRPr="00077267">
        <w:rPr>
          <w:rFonts w:ascii="Times New Roman" w:hAnsi="Times New Roman" w:cs="Times New Roman"/>
        </w:rPr>
        <w:t>5.4 Limitaciones</w:t>
      </w:r>
    </w:p>
    <w:p w14:paraId="3A12A237" w14:textId="49C6019F"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Tamaño de la cohorte UDS. Veintiocho pacientes son estadísticamente insuficientes para que el modelo aprenda patrones generalizables de los datos UDS. El valor del UDS en este trabajo es demostrativo (prueba de concepto) y </w:t>
      </w:r>
      <w:proofErr w:type="spellStart"/>
      <w:r w:rsidRPr="00077267">
        <w:rPr>
          <w:rFonts w:ascii="Times New Roman" w:hAnsi="Times New Roman" w:cs="Times New Roman"/>
        </w:rPr>
        <w:t>validatorio</w:t>
      </w:r>
      <w:proofErr w:type="spellEnd"/>
      <w:r w:rsidRPr="00077267">
        <w:rPr>
          <w:rFonts w:ascii="Times New Roman" w:hAnsi="Times New Roman" w:cs="Times New Roman"/>
        </w:rPr>
        <w:t xml:space="preserve"> (confirma por lead-time lo que el modelo GISAID predice), no predictivo directo. Con una cohorte de 200–500 pacientes, el componente UDS podría entrar directamente como </w:t>
      </w:r>
      <w:proofErr w:type="spellStart"/>
      <w:r w:rsidRPr="00077267">
        <w:rPr>
          <w:rFonts w:ascii="Times New Roman" w:hAnsi="Times New Roman" w:cs="Times New Roman"/>
        </w:rPr>
        <w:t>feature</w:t>
      </w:r>
      <w:proofErr w:type="spellEnd"/>
      <w:r w:rsidRPr="00077267">
        <w:rPr>
          <w:rFonts w:ascii="Times New Roman" w:hAnsi="Times New Roman" w:cs="Times New Roman"/>
        </w:rPr>
        <w:t xml:space="preserve"> de entrenamiento.</w:t>
      </w:r>
    </w:p>
    <w:p w14:paraId="43D14230" w14:textId="6305E91F" w:rsidR="00077267" w:rsidRPr="00077267" w:rsidRDefault="00077267" w:rsidP="00387013">
      <w:pPr>
        <w:jc w:val="both"/>
        <w:rPr>
          <w:rFonts w:ascii="Times New Roman" w:hAnsi="Times New Roman" w:cs="Times New Roman"/>
        </w:rPr>
      </w:pPr>
      <w:r w:rsidRPr="00077267">
        <w:rPr>
          <w:rFonts w:ascii="Times New Roman" w:hAnsi="Times New Roman" w:cs="Times New Roman"/>
        </w:rPr>
        <w:t>Sesgo geográfico de GISAID. El 78% de las secuencias proceden de países de renta alta, con infrarrepresentación sistemática de África Subsahariana, Asia central y Latinoamérica. Una variante que emerge en regiones con baja secuenciación podría ser detectada con retraso.</w:t>
      </w:r>
    </w:p>
    <w:p w14:paraId="0166D7A6" w14:textId="616BB7C5" w:rsidR="00077267" w:rsidRPr="00077267" w:rsidRDefault="00077267" w:rsidP="00387013">
      <w:pPr>
        <w:jc w:val="both"/>
        <w:rPr>
          <w:rFonts w:ascii="Times New Roman" w:hAnsi="Times New Roman" w:cs="Times New Roman"/>
        </w:rPr>
      </w:pPr>
      <w:r w:rsidRPr="00077267">
        <w:rPr>
          <w:rFonts w:ascii="Times New Roman" w:hAnsi="Times New Roman" w:cs="Times New Roman"/>
        </w:rPr>
        <w:t>Ventana de predicción. El modelo predice crecimiento en la semana siguiente, no dominancia a 3–6 meses. La ventana operacional de anticipación es de 4–8 semanas.</w:t>
      </w:r>
      <w:r>
        <w:t xml:space="preserve"> Esta limitación se aborda parcialmente en la sección 3.6: el modelo Cox PH estima la probabilidad de dominancia a 26 semanas (C-index = 0,740), ampliando el horizonte predictivo operacional a 6 meses.</w:t>
      </w:r>
    </w:p>
    <w:p w14:paraId="53A41E3F" w14:textId="7D107545"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de emergencia abrupta. Los falsos negativos más frecuentes corresponden a clados con freq_t0 &lt; 0,03 que emergen sin gradiente previo detectable (LP.8.1, LF.7, MC.1, JN.1.16.1). Esta limitación es inherente: el modelo aprende de trayectorias, y sin trayectoria previa no hay señal. Precisamente aquí el UDS puede ser más valioso, al no depender de visibilidad en GISAID.</w:t>
      </w:r>
    </w:p>
    <w:p w14:paraId="09B50441" w14:textId="03CCCF28"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Estabilidad entre oleadas. Algunas variables presentan alta variabilidad entre períodos (n_active_8w, CV = 0,50; </w:t>
      </w:r>
      <w:proofErr w:type="spellStart"/>
      <w:r w:rsidRPr="00077267">
        <w:rPr>
          <w:rFonts w:ascii="Times New Roman" w:hAnsi="Times New Roman" w:cs="Times New Roman"/>
        </w:rPr>
        <w:t>peak_hist</w:t>
      </w:r>
      <w:proofErr w:type="spellEnd"/>
      <w:r w:rsidRPr="00077267">
        <w:rPr>
          <w:rFonts w:ascii="Times New Roman" w:hAnsi="Times New Roman" w:cs="Times New Roman"/>
        </w:rPr>
        <w:t xml:space="preserve">, CV = 0,44), indicando menor fiabilidad en transiciones de régimen viral. Las </w:t>
      </w:r>
      <w:proofErr w:type="spellStart"/>
      <w:r w:rsidRPr="00077267">
        <w:rPr>
          <w:rFonts w:ascii="Times New Roman" w:hAnsi="Times New Roman" w:cs="Times New Roman"/>
        </w:rPr>
        <w:t>features</w:t>
      </w:r>
      <w:proofErr w:type="spellEnd"/>
      <w:r w:rsidRPr="00077267">
        <w:rPr>
          <w:rFonts w:ascii="Times New Roman" w:hAnsi="Times New Roman" w:cs="Times New Roman"/>
        </w:rPr>
        <w:t xml:space="preserve"> de mutación son más estables entre oleadas, sugiriendo que en escenarios de transición abrupta el componente mutacional debería recibir mayor peso.</w:t>
      </w:r>
    </w:p>
    <w:p w14:paraId="57196F96" w14:textId="05DAB51F"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actuales sin señal UDS. Los pacientes UDS son de 2020–2023; los clados emergentes de 2025–2026 (XFG, LP.8) carecen de señal UDS directa y el ranking se basa exclusivamente en el componente GISAID.</w:t>
      </w:r>
    </w:p>
    <w:p w14:paraId="76D2B522" w14:textId="77777777" w:rsidR="009866A8" w:rsidRPr="009866A8" w:rsidRDefault="009866A8" w:rsidP="00387013">
      <w:pPr>
        <w:jc w:val="both"/>
        <w:rPr>
          <w:rFonts w:ascii="Times New Roman" w:hAnsi="Times New Roman" w:cs="Times New Roman"/>
        </w:rPr>
      </w:pPr>
    </w:p>
    <w:p w14:paraId="6355CA10" w14:textId="04FD0965" w:rsidR="009866A8" w:rsidRDefault="009866A8" w:rsidP="00387013">
      <w:pPr>
        <w:jc w:val="both"/>
        <w:rPr>
          <w:rFonts w:ascii="Times New Roman" w:hAnsi="Times New Roman" w:cs="Times New Roman"/>
          <w:i/>
          <w:sz w:val="20"/>
        </w:rPr>
      </w:pPr>
      <w:r>
        <w:rPr>
          <w:rFonts w:ascii="Times New Roman" w:hAnsi="Times New Roman" w:cs="Times New Roman"/>
          <w:i/>
          <w:sz w:val="20"/>
        </w:rPr>
        <w:br w:type="page"/>
      </w:r>
    </w:p>
    <w:p w14:paraId="5288A8DA" w14:textId="5FC28EC2" w:rsidR="009866A8" w:rsidRPr="009866A8" w:rsidRDefault="009866A8" w:rsidP="00387013">
      <w:pPr>
        <w:pStyle w:val="Ttulo1"/>
        <w:jc w:val="both"/>
        <w:rPr>
          <w:rFonts w:ascii="Times New Roman" w:hAnsi="Times New Roman" w:cs="Times New Roman"/>
        </w:rPr>
      </w:pPr>
      <w:r w:rsidRPr="009866A8">
        <w:rPr>
          <w:rFonts w:ascii="Times New Roman" w:hAnsi="Times New Roman" w:cs="Times New Roman"/>
        </w:rPr>
        <w:lastRenderedPageBreak/>
        <w:t>6. Conclusiones y trabajo futuro</w:t>
      </w:r>
    </w:p>
    <w:p w14:paraId="76BF716C" w14:textId="296F3971"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6.1 Conclusiones</w:t>
      </w:r>
    </w:p>
    <w:p w14:paraId="0A5C050F" w14:textId="75A05F93"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ha desarrollado un sistema de predicción de variantes emergentes de SARS-CoV-2 que procesa 17,15 millones de secuencias genómicas y construye dos modelos predictivos complementarios. El Modelo 1 (13 features de dinámica temporal, AUC = 0,8283) demuestra que la trayectoria de frecuencia de las últimas 8 semanas es suficiente para identificar linajes emergentes con alta precisión discriminativa. El Modelo 2 con 30 mutaciones within-family (AUC = 0,8398) confirma que el perfil mutacional interno de cada linaje añade valor predictivo real (+0,012 AUC) cuando se utiliza una metodología sin fuga de información al test set. M2-temporal destaca en Precision-Recall con AP = 0,476 = 4,02× el azar. El hallazgo central es que la dinámica de momentum (frecuencia, pendiente, aceleración) es el predictor dominante, y que las mutaciones complementan esta señal con discriminación adicional en AUC. El sistema se complementa con un modelo de supervivencia (Cox PH) que, aprovechando los 5 años completos de datos pandémicos (2020–2026), estima el tiempo hasta la dominancia global desde la primera detección de cada variante, con un C-index de 0,740.</w:t>
      </w:r>
      <w:proofErr w:type="spellStart"/>
      <w:r w:rsidRPr="009866A8">
        <w:rPr>
          <w:rFonts w:ascii="Times New Roman" w:hAnsi="Times New Roman" w:cs="Times New Roman"/>
        </w:rPr>
      </w:r>
      <w:proofErr w:type="spellEnd"/>
      <w:r w:rsidRPr="009866A8">
        <w:rPr>
          <w:rFonts w:ascii="Times New Roman" w:hAnsi="Times New Roman" w:cs="Times New Roman"/>
        </w:rPr>
      </w:r>
      <w:r/>
    </w:p>
    <w:p w14:paraId="4C232BFC" w14:textId="55C075C3" w:rsidR="009866A8" w:rsidRPr="009866A8" w:rsidRDefault="009866A8" w:rsidP="00387013">
      <w:pPr>
        <w:jc w:val="both"/>
        <w:rPr>
          <w:rFonts w:ascii="Times New Roman" w:hAnsi="Times New Roman" w:cs="Times New Roman"/>
        </w:rPr>
      </w:pPr>
      <w:r w:rsidRPr="009866A8">
        <w:rPr>
          <w:rFonts w:ascii="Times New Roman" w:hAnsi="Times New Roman" w:cs="Times New Roman"/>
        </w:rPr>
        <w:t>El análisis retrospectivo de los haplotipos discordantes de los 28 pacientes UDS demuestra que el espacio mutacional intrapaciente se solapó con la evolución poblacional del virus: los clados detectados como minoría en los pacientes emergieron globalmente con un lead-time de hasta 50 semanas (media ~25 semanas). Este hallazgo valida biológicamente la teoría de cuasiespecies aplicada a la vigilancia epidemiológica. Sin embargo, el carácter retrospectivo y curado del dataset impide concluir que el UDS funcionaría como sistema de alerta prospectivo sin un estudio de cohorte diseñado específicamente con recogida de todos los haplotipos discordantes, no solo de los que coincidieron con clados emergentes.</w:t>
      </w:r>
      <w:proofErr w:type="spellStart"/>
      <w:r w:rsidRPr="009866A8">
        <w:rPr>
          <w:rFonts w:ascii="Times New Roman" w:hAnsi="Times New Roman" w:cs="Times New Roman"/>
        </w:rPr>
      </w:r>
      <w:proofErr w:type="spellEnd"/>
      <w:r w:rsidRPr="009866A8">
        <w:rPr>
          <w:rFonts w:ascii="Times New Roman" w:hAnsi="Times New Roman" w:cs="Times New Roman"/>
        </w:rPr>
      </w:r>
    </w:p>
    <w:p w14:paraId="6E9B003E" w14:textId="7E5D178A" w:rsidR="009866A8" w:rsidRPr="009866A8" w:rsidRDefault="009866A8" w:rsidP="00387013">
      <w:pPr>
        <w:jc w:val="both"/>
        <w:rPr>
          <w:rFonts w:ascii="Times New Roman" w:hAnsi="Times New Roman" w:cs="Times New Roman"/>
        </w:rPr>
      </w:pPr>
      <w:r w:rsidRPr="009866A8">
        <w:rPr>
          <w:rFonts w:ascii="Times New Roman" w:hAnsi="Times New Roman" w:cs="Times New Roman"/>
        </w:rPr>
        <w:t>La validación prospectiva real (febrero–abril 2026) confirma que el sistema identifica correctamente las familias virales dominantes (XFG* al 70%, XDV* al 16,4%), funcionando como herramienta de vigilancia con 4-8 semanas de anticipación. Las predicciones del modelo son biológicamente coherentes, como demuestra que las features más importantes son variables de trayectoria dinámica (slope_4w, freq_t0), coherentes con la idea de que el fitness viral se manifiesta como crecimiento, y que la primera mutación informativa es Spike G252V (NTD, loop N5).</w:t>
      </w:r>
      <w:r w:rsidRPr="00DE4887">
        <w:rPr>
          <w:rFonts w:ascii="Times New Roman" w:hAnsi="Times New Roman" w:cs="Times New Roman"/>
          <w:szCs w:val="36"/>
        </w:rPr>
      </w:r>
      <w:r w:rsidRPr="009866A8">
        <w:rPr>
          <w:rFonts w:ascii="Times New Roman" w:hAnsi="Times New Roman" w:cs="Times New Roman"/>
        </w:rPr>
      </w:r>
      <w:r w:rsidR="008D11A0">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r w:rsidR="00953D39" w:rsidRPr="00953D39">
        <w:rPr>
          <w:rFonts w:ascii="Times New Roman" w:hAnsi="Times New Roman" w:cs="Times New Roman"/>
        </w:rPr>
      </w:r>
      <w:r w:rsidRPr="009866A8">
        <w:rPr>
          <w:rFonts w:ascii="Times New Roman" w:hAnsi="Times New Roman" w:cs="Times New Roman"/>
        </w:rPr>
      </w:r>
      <w:proofErr w:type="spellStart"/>
      <w:r w:rsidRPr="009866A8">
        <w:rPr>
          <w:rFonts w:ascii="Times New Roman" w:hAnsi="Times New Roman" w:cs="Times New Roman"/>
        </w:rPr>
      </w:r>
      <w:proofErr w:type="spellEnd"/>
      <w:r w:rsidRPr="009866A8">
        <w:rPr>
          <w:rFonts w:ascii="Times New Roman" w:hAnsi="Times New Roman" w:cs="Times New Roman"/>
        </w:rPr>
      </w:r>
    </w:p>
    <w:p w14:paraId="33606490" w14:textId="13FEB258"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6.2 Trabajo futuro</w:t>
      </w:r>
    </w:p>
    <w:p w14:paraId="58418190" w14:textId="64146394"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proponen tres líneas de desarrollo:</w:t>
      </w:r>
    </w:p>
    <w:p w14:paraId="280331DA" w14:textId="6B35A963" w:rsidR="009866A8" w:rsidRPr="009866A8" w:rsidRDefault="009866A8" w:rsidP="00387013">
      <w:pPr>
        <w:jc w:val="both"/>
        <w:rPr>
          <w:rFonts w:ascii="Times New Roman" w:hAnsi="Times New Roman" w:cs="Times New Roman"/>
        </w:rPr>
      </w:pPr>
      <w:r w:rsidRPr="009866A8">
        <w:rPr>
          <w:rFonts w:ascii="Times New Roman" w:hAnsi="Times New Roman" w:cs="Times New Roman"/>
        </w:rPr>
        <w:t>Vigilancia epidemiológica prospectiva. Integración del sistema en plataformas de vigilancia activa (</w:t>
      </w:r>
      <w:proofErr w:type="spellStart"/>
      <w:r w:rsidRPr="009866A8">
        <w:rPr>
          <w:rFonts w:ascii="Times New Roman" w:hAnsi="Times New Roman" w:cs="Times New Roman"/>
        </w:rPr>
        <w:t>Nextstrain</w:t>
      </w:r>
      <w:proofErr w:type="spellEnd"/>
      <w:r w:rsidRPr="009866A8">
        <w:rPr>
          <w:rFonts w:ascii="Times New Roman" w:hAnsi="Times New Roman" w:cs="Times New Roman"/>
        </w:rPr>
        <w:t>, GISAID) para generar semanalmente un ranking de los 10</w:t>
      </w:r>
      <w:r w:rsidR="000279C8">
        <w:rPr>
          <w:rFonts w:ascii="Times New Roman" w:hAnsi="Times New Roman" w:cs="Times New Roman"/>
        </w:rPr>
        <w:t>-</w:t>
      </w:r>
      <w:r w:rsidRPr="009866A8">
        <w:rPr>
          <w:rFonts w:ascii="Times New Roman" w:hAnsi="Times New Roman" w:cs="Times New Roman"/>
        </w:rPr>
        <w:t>20 clados con mayor probabilidad de expansión, con 4</w:t>
      </w:r>
      <w:r w:rsidR="00671680">
        <w:rPr>
          <w:rFonts w:ascii="Times New Roman" w:hAnsi="Times New Roman" w:cs="Times New Roman"/>
        </w:rPr>
        <w:t>-</w:t>
      </w:r>
      <w:r w:rsidRPr="009866A8">
        <w:rPr>
          <w:rFonts w:ascii="Times New Roman" w:hAnsi="Times New Roman" w:cs="Times New Roman"/>
        </w:rPr>
        <w:t>8 semanas de anticipación para preparar respuestas de salud pública.</w:t>
      </w:r>
      <w:r>
        <w:t xml:space="preserve"> La integración del sistema combinado T+4 (LightGBM) + supervivencia (Cox PH) permite generar señales de alerta de tres niveles (Alta/Moderada/Baja) actualizables semanalmente con nuevas descargas de GISAID.</w:t>
      </w:r>
    </w:p>
    <w:p w14:paraId="4DDA119C" w14:textId="77C0D39B"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Selección de candidatos vacunales. Combinación del sistema con datos de </w:t>
      </w:r>
      <w:proofErr w:type="spellStart"/>
      <w:r w:rsidRPr="009866A8">
        <w:rPr>
          <w:rFonts w:ascii="Times New Roman" w:hAnsi="Times New Roman" w:cs="Times New Roman"/>
        </w:rPr>
        <w:t>deep</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mutational</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scanning</w:t>
      </w:r>
      <w:proofErr w:type="spellEnd"/>
      <w:r w:rsidRPr="009866A8">
        <w:rPr>
          <w:rFonts w:ascii="Times New Roman" w:hAnsi="Times New Roman" w:cs="Times New Roman"/>
        </w:rPr>
        <w:t xml:space="preserve"> (Bloom Lab) para asistir en la selección de composición vacunal con 3</w:t>
      </w:r>
      <w:r w:rsidR="000279C8">
        <w:rPr>
          <w:rFonts w:ascii="Times New Roman" w:hAnsi="Times New Roman" w:cs="Times New Roman"/>
        </w:rPr>
        <w:t>-</w:t>
      </w:r>
      <w:r w:rsidRPr="009866A8">
        <w:rPr>
          <w:rFonts w:ascii="Times New Roman" w:hAnsi="Times New Roman" w:cs="Times New Roman"/>
        </w:rPr>
        <w:t>4 meses de antelación.</w:t>
      </w:r>
    </w:p>
    <w:p w14:paraId="048E51DC" w14:textId="58ED183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Amplificación de programas UDS. Expansión de la cohorte a 500–1.000 pacientes de distintas geografías con seguimiento longitudinal, para incorporar el IPE score directamente como </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de entrenamiento y validar prospectivamente la anticipación observada.</w:t>
      </w:r>
    </w:p>
    <w:p w14:paraId="57EE9F29" w14:textId="1C74DBE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La arquitectura del sistema </w:t>
      </w:r>
      <w:r w:rsidR="002F782F" w:rsidRPr="002F782F">
        <w:rPr>
          <w:rFonts w:ascii="Times New Roman" w:hAnsi="Times New Roman" w:cs="Times New Roman"/>
        </w:rPr>
        <w:t>(</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engineering</w:t>
      </w:r>
      <w:proofErr w:type="spellEnd"/>
      <w:r w:rsidRPr="009866A8">
        <w:rPr>
          <w:rFonts w:ascii="Times New Roman" w:hAnsi="Times New Roman" w:cs="Times New Roman"/>
        </w:rPr>
        <w:t xml:space="preserve"> sobre vigilancia genómica global, modelo temporal con </w:t>
      </w:r>
      <w:proofErr w:type="spellStart"/>
      <w:r w:rsidRPr="009866A8">
        <w:rPr>
          <w:rFonts w:ascii="Times New Roman" w:hAnsi="Times New Roman" w:cs="Times New Roman"/>
        </w:rPr>
        <w:t>split</w:t>
      </w:r>
      <w:proofErr w:type="spellEnd"/>
      <w:r w:rsidRPr="009866A8">
        <w:rPr>
          <w:rFonts w:ascii="Times New Roman" w:hAnsi="Times New Roman" w:cs="Times New Roman"/>
        </w:rPr>
        <w:t xml:space="preserve"> estricto, integración de datos de </w:t>
      </w:r>
      <w:proofErr w:type="spellStart"/>
      <w:r w:rsidRPr="009866A8">
        <w:rPr>
          <w:rFonts w:ascii="Times New Roman" w:hAnsi="Times New Roman" w:cs="Times New Roman"/>
        </w:rPr>
        <w:t>cuasiespecies</w:t>
      </w:r>
      <w:proofErr w:type="spellEnd"/>
      <w:r w:rsidR="002F782F" w:rsidRPr="002F782F">
        <w:rPr>
          <w:rFonts w:ascii="Times New Roman" w:hAnsi="Times New Roman" w:cs="Times New Roman"/>
        </w:rPr>
        <w:t>)</w:t>
      </w:r>
      <w:r w:rsidRPr="009866A8">
        <w:rPr>
          <w:rFonts w:ascii="Times New Roman" w:hAnsi="Times New Roman" w:cs="Times New Roman"/>
        </w:rPr>
        <w:t xml:space="preserve"> es en principio aplicable a cualquier virus RNA con vigilancia genómica activa: influenza, RSV, MERS-CoV o futuros virus pandémicos.</w:t>
      </w:r>
    </w:p>
    <w:p w14:paraId="2EDDFCB9" w14:textId="77777777" w:rsidR="00250B1B" w:rsidRPr="00250B1B" w:rsidRDefault="00250B1B" w:rsidP="00250B1B">
      <w:pPr>
        <w:rPr>
          <w:rFonts w:ascii="Times New Roman" w:hAnsi="Times New Roman" w:cs="Times New Roman"/>
        </w:rPr>
      </w:pPr>
    </w:p>
    <w:p w14:paraId="7A5E1C70" w14:textId="31202A9A" w:rsidR="00250B1B" w:rsidRDefault="00250B1B" w:rsidP="00753D59">
      <w:pPr>
        <w:rPr>
          <w:rFonts w:ascii="Times New Roman" w:hAnsi="Times New Roman" w:cs="Times New Roman"/>
          <w:i/>
          <w:sz w:val="20"/>
        </w:rPr>
      </w:pPr>
      <w:r>
        <w:rPr>
          <w:rFonts w:ascii="Times New Roman" w:hAnsi="Times New Roman" w:cs="Times New Roman"/>
          <w:i/>
          <w:sz w:val="20"/>
        </w:rPr>
        <w:br w:type="page"/>
      </w:r>
    </w:p>
    <w:p w14:paraId="6D323A30" w14:textId="3AEF2C1D" w:rsidR="00250B1B" w:rsidRPr="00250B1B" w:rsidRDefault="00250B1B" w:rsidP="00250B1B">
      <w:pPr>
        <w:pStyle w:val="Ttulo1"/>
        <w:rPr>
          <w:rFonts w:ascii="Times New Roman" w:hAnsi="Times New Roman" w:cs="Times New Roman"/>
        </w:rPr>
      </w:pPr>
      <w:r w:rsidRPr="00250B1B">
        <w:rPr>
          <w:rFonts w:ascii="Times New Roman" w:hAnsi="Times New Roman" w:cs="Times New Roman"/>
        </w:rPr>
        <w:lastRenderedPageBreak/>
        <w:t>Referencias</w:t>
      </w:r>
    </w:p>
    <w:p w14:paraId="29A1BAD8" w14:textId="3C89B807"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Braun, K.M. et al. (2021). </w:t>
      </w:r>
      <w:proofErr w:type="spellStart"/>
      <w:r w:rsidRPr="00250B1B">
        <w:rPr>
          <w:rFonts w:ascii="Times New Roman" w:hAnsi="Times New Roman" w:cs="Times New Roman"/>
          <w:sz w:val="22"/>
        </w:rPr>
        <w:t>Transmission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SARS-CoV-2 in </w:t>
      </w:r>
      <w:proofErr w:type="spellStart"/>
      <w:r w:rsidRPr="00250B1B">
        <w:rPr>
          <w:rFonts w:ascii="Times New Roman" w:hAnsi="Times New Roman" w:cs="Times New Roman"/>
          <w:sz w:val="22"/>
        </w:rPr>
        <w:t>domestic</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settings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insights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from</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household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studies</w:t>
      </w:r>
      <w:proofErr w:type="spellEnd"/>
      <w:r w:rsidRPr="00250B1B">
        <w:rPr>
          <w:rFonts w:ascii="Times New Roman" w:hAnsi="Times New Roman" w:cs="Times New Roman"/>
          <w:sz w:val="22"/>
        </w:rPr>
        <w:t xml:space="preserve">. PLOS </w:t>
      </w:r>
      <w:proofErr w:type="spellStart"/>
      <w:r w:rsidRPr="00250B1B">
        <w:rPr>
          <w:rFonts w:ascii="Times New Roman" w:hAnsi="Times New Roman" w:cs="Times New Roman"/>
          <w:sz w:val="22"/>
        </w:rPr>
        <w:t>Pathogens</w:t>
      </w:r>
      <w:proofErr w:type="spellEnd"/>
      <w:r w:rsidRPr="00250B1B">
        <w:rPr>
          <w:rFonts w:ascii="Times New Roman" w:hAnsi="Times New Roman" w:cs="Times New Roman"/>
          <w:sz w:val="22"/>
        </w:rPr>
        <w:t>, 17(6), e1009667.</w:t>
      </w:r>
    </w:p>
    <w:p w14:paraId="7934CA94" w14:textId="794C75AA"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Domingo, E. &amp; Perales, C. (2021). Viral </w:t>
      </w:r>
      <w:proofErr w:type="spellStart"/>
      <w:r w:rsidRPr="00250B1B">
        <w:rPr>
          <w:rFonts w:ascii="Times New Roman" w:hAnsi="Times New Roman" w:cs="Times New Roman"/>
          <w:sz w:val="22"/>
        </w:rPr>
        <w:t>quasispecies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history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concepts</w:t>
      </w:r>
      <w:proofErr w:type="spellEnd"/>
      <w:r w:rsidRPr="00250B1B">
        <w:rPr>
          <w:rFonts w:ascii="Times New Roman" w:hAnsi="Times New Roman" w:cs="Times New Roman"/>
          <w:sz w:val="22"/>
        </w:rPr>
        <w:t xml:space="preserve">, and </w:t>
      </w:r>
      <w:proofErr w:type="spellStart"/>
      <w:r w:rsidRPr="00250B1B">
        <w:rPr>
          <w:rFonts w:ascii="Times New Roman" w:hAnsi="Times New Roman" w:cs="Times New Roman"/>
          <w:sz w:val="22"/>
        </w:rPr>
        <w:t>perspectives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Annual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Review</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Virology</w:t>
      </w:r>
      <w:proofErr w:type="spellEnd"/>
      <w:r w:rsidRPr="00250B1B">
        <w:rPr>
          <w:rFonts w:ascii="Times New Roman" w:hAnsi="Times New Roman" w:cs="Times New Roman"/>
          <w:sz w:val="22"/>
        </w:rPr>
        <w:t>, 8, 51–73.</w:t>
      </w:r>
    </w:p>
    <w:p w14:paraId="28B87F0C" w14:textId="48EEB425"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Ke, G. et al. (2017). </w:t>
      </w:r>
      <w:proofErr w:type="spellStart"/>
      <w:r w:rsidRPr="00250B1B">
        <w:rPr>
          <w:rFonts w:ascii="Times New Roman" w:hAnsi="Times New Roman" w:cs="Times New Roman"/>
          <w:sz w:val="22"/>
        </w:rPr>
        <w:t>LightGBM</w:t>
      </w:r>
      <w:proofErr w:type="spellEnd"/>
      <w:r w:rsidRPr="00250B1B">
        <w:rPr>
          <w:rFonts w:ascii="Times New Roman" w:hAnsi="Times New Roman" w:cs="Times New Roman"/>
          <w:sz w:val="22"/>
        </w:rPr>
        <w:t xml:space="preserve">: A </w:t>
      </w:r>
      <w:proofErr w:type="spellStart"/>
      <w:r w:rsidRPr="00250B1B">
        <w:rPr>
          <w:rFonts w:ascii="Times New Roman" w:hAnsi="Times New Roman" w:cs="Times New Roman"/>
          <w:sz w:val="22"/>
        </w:rPr>
        <w:t>highly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efficient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gradient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boosting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decision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tree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49DF1A3" w14:textId="6A4BF89E"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Lundberg, S.M. &amp; Lee, S.I. (2017). A </w:t>
      </w:r>
      <w:proofErr w:type="spellStart"/>
      <w:r w:rsidRPr="00250B1B">
        <w:rPr>
          <w:rFonts w:ascii="Times New Roman" w:hAnsi="Times New Roman" w:cs="Times New Roman"/>
          <w:sz w:val="22"/>
        </w:rPr>
        <w:t>unified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approach</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to</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interpreting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model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predictions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99B1C61" w14:textId="4E9C9CDD"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Maher, M.C. et al. (2022). </w:t>
      </w:r>
      <w:proofErr w:type="spellStart"/>
      <w:r w:rsidRPr="00250B1B">
        <w:rPr>
          <w:rFonts w:ascii="Times New Roman" w:hAnsi="Times New Roman" w:cs="Times New Roman"/>
          <w:sz w:val="22"/>
        </w:rPr>
        <w:t>Predicting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the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mutational</w:t>
      </w:r>
      <w:proofErr w:type="spellEnd"/>
      <w:r w:rsidRPr="00250B1B">
        <w:rPr>
          <w:rFonts w:ascii="Times New Roman" w:hAnsi="Times New Roman" w:cs="Times New Roman"/>
          <w:sz w:val="22"/>
        </w:rPr>
        <w:t xml:space="preserve"> drivers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future SARS-CoV-2 </w:t>
      </w:r>
      <w:proofErr w:type="spellStart"/>
      <w:r w:rsidRPr="00250B1B">
        <w:rPr>
          <w:rFonts w:ascii="Times New Roman" w:hAnsi="Times New Roman" w:cs="Times New Roman"/>
          <w:sz w:val="22"/>
        </w:rPr>
        <w:t>variants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concern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Science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Translational</w:t>
      </w:r>
      <w:proofErr w:type="spellEnd"/>
      <w:r w:rsidRPr="00250B1B">
        <w:rPr>
          <w:rFonts w:ascii="Times New Roman" w:hAnsi="Times New Roman" w:cs="Times New Roman"/>
          <w:sz w:val="22"/>
        </w:rPr>
        <w:t xml:space="preserve"> Medicine, 14(633), eabk3445.</w:t>
      </w:r>
    </w:p>
    <w:p w14:paraId="3A0F2D63" w14:textId="7F8DAFB8" w:rsidR="00534F77" w:rsidRPr="00CA2C27" w:rsidRDefault="00534F77" w:rsidP="00753D59">
      <w:pPr>
        <w:rPr>
          <w:rFonts w:ascii="Times New Roman" w:hAnsi="Times New Roman" w:cs="Times New Roman"/>
          <w:i/>
          <w:sz w:val="20"/>
        </w:rPr>
      </w:pPr>
    </w:p>
    <w:sectPr w:rsidR="00534F77" w:rsidRPr="00CA2C2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0AD3" w14:textId="77777777" w:rsidR="003F4671" w:rsidRDefault="003F4671" w:rsidP="00A930ED">
      <w:pPr>
        <w:spacing w:after="0" w:line="240" w:lineRule="auto"/>
      </w:pPr>
      <w:r>
        <w:separator/>
      </w:r>
    </w:p>
  </w:endnote>
  <w:endnote w:type="continuationSeparator" w:id="0">
    <w:p w14:paraId="4C094153" w14:textId="77777777" w:rsidR="003F4671" w:rsidRDefault="003F4671" w:rsidP="00A9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C438" w14:textId="77777777" w:rsidR="00A930ED" w:rsidRDefault="00A930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FC955" w14:textId="77777777" w:rsidR="00A930ED" w:rsidRDefault="00A930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4F463" w14:textId="77777777" w:rsidR="00A930ED" w:rsidRDefault="00A930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B550B" w14:textId="77777777" w:rsidR="003F4671" w:rsidRDefault="003F4671" w:rsidP="00A930ED">
      <w:pPr>
        <w:spacing w:after="0" w:line="240" w:lineRule="auto"/>
      </w:pPr>
      <w:r>
        <w:separator/>
      </w:r>
    </w:p>
  </w:footnote>
  <w:footnote w:type="continuationSeparator" w:id="0">
    <w:p w14:paraId="3C5D599A" w14:textId="77777777" w:rsidR="003F4671" w:rsidRDefault="003F4671" w:rsidP="00A9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A8E3" w14:textId="77777777" w:rsidR="00A930ED" w:rsidRDefault="00A930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E1F2" w14:textId="77777777" w:rsidR="00A930ED" w:rsidRDefault="00A930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EA77" w14:textId="77777777" w:rsidR="00A930ED" w:rsidRDefault="00A930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5C4B78"/>
    <w:lvl w:ilvl="0">
      <w:start w:val="1"/>
      <w:numFmt w:val="decimal"/>
      <w:pStyle w:val="Listaconnmeros"/>
      <w:lvlText w:val="%1."/>
      <w:lvlJc w:val="left"/>
      <w:pPr>
        <w:tabs>
          <w:tab w:val="num" w:pos="360"/>
        </w:tabs>
        <w:ind w:left="360" w:hanging="360"/>
      </w:pPr>
    </w:lvl>
  </w:abstractNum>
  <w:abstractNum w:abstractNumId="1" w15:restartNumberingAfterBreak="0">
    <w:nsid w:val="018444E0"/>
    <w:multiLevelType w:val="multilevel"/>
    <w:tmpl w:val="176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741A9"/>
    <w:multiLevelType w:val="multilevel"/>
    <w:tmpl w:val="5948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47598"/>
    <w:multiLevelType w:val="multilevel"/>
    <w:tmpl w:val="1B84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2714D"/>
    <w:multiLevelType w:val="multilevel"/>
    <w:tmpl w:val="CC3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E2F01"/>
    <w:multiLevelType w:val="multilevel"/>
    <w:tmpl w:val="F188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92887"/>
    <w:multiLevelType w:val="multilevel"/>
    <w:tmpl w:val="1F20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A37AB"/>
    <w:multiLevelType w:val="multilevel"/>
    <w:tmpl w:val="8FD4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A151D5"/>
    <w:multiLevelType w:val="multilevel"/>
    <w:tmpl w:val="3CE4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C4ED6"/>
    <w:multiLevelType w:val="multilevel"/>
    <w:tmpl w:val="3D5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1C4D8F"/>
    <w:multiLevelType w:val="multilevel"/>
    <w:tmpl w:val="32A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0299B"/>
    <w:multiLevelType w:val="multilevel"/>
    <w:tmpl w:val="99C2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3297F"/>
    <w:multiLevelType w:val="multilevel"/>
    <w:tmpl w:val="57A4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10B98"/>
    <w:multiLevelType w:val="multilevel"/>
    <w:tmpl w:val="E4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4259ED"/>
    <w:multiLevelType w:val="multilevel"/>
    <w:tmpl w:val="376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7B3D"/>
    <w:multiLevelType w:val="multilevel"/>
    <w:tmpl w:val="3FF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6E3155"/>
    <w:multiLevelType w:val="multilevel"/>
    <w:tmpl w:val="A87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16AD6"/>
    <w:multiLevelType w:val="multilevel"/>
    <w:tmpl w:val="9F92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167494">
    <w:abstractNumId w:val="15"/>
  </w:num>
  <w:num w:numId="2" w16cid:durableId="257251117">
    <w:abstractNumId w:val="7"/>
  </w:num>
  <w:num w:numId="3" w16cid:durableId="805044945">
    <w:abstractNumId w:val="11"/>
  </w:num>
  <w:num w:numId="4" w16cid:durableId="2012372804">
    <w:abstractNumId w:val="8"/>
  </w:num>
  <w:num w:numId="5" w16cid:durableId="1564876444">
    <w:abstractNumId w:val="17"/>
  </w:num>
  <w:num w:numId="6" w16cid:durableId="1342703329">
    <w:abstractNumId w:val="4"/>
  </w:num>
  <w:num w:numId="7" w16cid:durableId="658116490">
    <w:abstractNumId w:val="5"/>
  </w:num>
  <w:num w:numId="8" w16cid:durableId="2001736451">
    <w:abstractNumId w:val="13"/>
  </w:num>
  <w:num w:numId="9" w16cid:durableId="770660984">
    <w:abstractNumId w:val="16"/>
  </w:num>
  <w:num w:numId="10" w16cid:durableId="1976904702">
    <w:abstractNumId w:val="1"/>
  </w:num>
  <w:num w:numId="11" w16cid:durableId="1878199868">
    <w:abstractNumId w:val="14"/>
  </w:num>
  <w:num w:numId="12" w16cid:durableId="133566678">
    <w:abstractNumId w:val="10"/>
  </w:num>
  <w:num w:numId="13" w16cid:durableId="1441219752">
    <w:abstractNumId w:val="2"/>
  </w:num>
  <w:num w:numId="14" w16cid:durableId="1094203439">
    <w:abstractNumId w:val="12"/>
  </w:num>
  <w:num w:numId="15" w16cid:durableId="1517186734">
    <w:abstractNumId w:val="9"/>
  </w:num>
  <w:num w:numId="16" w16cid:durableId="2016611770">
    <w:abstractNumId w:val="3"/>
  </w:num>
  <w:num w:numId="17" w16cid:durableId="1789818047">
    <w:abstractNumId w:val="6"/>
  </w:num>
  <w:num w:numId="18" w16cid:durableId="162195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13A"/>
    <w:rsid w:val="000279C8"/>
    <w:rsid w:val="00077267"/>
    <w:rsid w:val="00095523"/>
    <w:rsid w:val="000A1FB6"/>
    <w:rsid w:val="00103377"/>
    <w:rsid w:val="00173607"/>
    <w:rsid w:val="00181455"/>
    <w:rsid w:val="001A5298"/>
    <w:rsid w:val="001F4FD4"/>
    <w:rsid w:val="00205D68"/>
    <w:rsid w:val="0022066C"/>
    <w:rsid w:val="00224928"/>
    <w:rsid w:val="00232769"/>
    <w:rsid w:val="0023447E"/>
    <w:rsid w:val="00250B1B"/>
    <w:rsid w:val="002B013A"/>
    <w:rsid w:val="002F782F"/>
    <w:rsid w:val="00387013"/>
    <w:rsid w:val="003D2C6C"/>
    <w:rsid w:val="003F4671"/>
    <w:rsid w:val="004079C8"/>
    <w:rsid w:val="00430E0E"/>
    <w:rsid w:val="004677B6"/>
    <w:rsid w:val="00534F77"/>
    <w:rsid w:val="00587D95"/>
    <w:rsid w:val="005E0968"/>
    <w:rsid w:val="006530D5"/>
    <w:rsid w:val="00664F8C"/>
    <w:rsid w:val="00671680"/>
    <w:rsid w:val="006A6AE2"/>
    <w:rsid w:val="006C0162"/>
    <w:rsid w:val="006C5940"/>
    <w:rsid w:val="006D6A9B"/>
    <w:rsid w:val="006F092D"/>
    <w:rsid w:val="00753D59"/>
    <w:rsid w:val="007F1EAA"/>
    <w:rsid w:val="00820450"/>
    <w:rsid w:val="00842C9D"/>
    <w:rsid w:val="00864469"/>
    <w:rsid w:val="008D11A0"/>
    <w:rsid w:val="008E1288"/>
    <w:rsid w:val="008E4D3F"/>
    <w:rsid w:val="00953D39"/>
    <w:rsid w:val="00954DF3"/>
    <w:rsid w:val="009866A8"/>
    <w:rsid w:val="009A1D02"/>
    <w:rsid w:val="00A1599E"/>
    <w:rsid w:val="00A43B0F"/>
    <w:rsid w:val="00A930ED"/>
    <w:rsid w:val="00AB4DFB"/>
    <w:rsid w:val="00AC701A"/>
    <w:rsid w:val="00BE52D5"/>
    <w:rsid w:val="00C64F68"/>
    <w:rsid w:val="00C72C85"/>
    <w:rsid w:val="00CA2C27"/>
    <w:rsid w:val="00CB4EB6"/>
    <w:rsid w:val="00CD5631"/>
    <w:rsid w:val="00D17061"/>
    <w:rsid w:val="00D23A35"/>
    <w:rsid w:val="00D57896"/>
    <w:rsid w:val="00D92BC4"/>
    <w:rsid w:val="00DE4887"/>
    <w:rsid w:val="00E177F1"/>
    <w:rsid w:val="00E361DB"/>
    <w:rsid w:val="00E41200"/>
    <w:rsid w:val="00EA7E4F"/>
    <w:rsid w:val="00EC08D5"/>
    <w:rsid w:val="00F17B1A"/>
    <w:rsid w:val="00F46007"/>
    <w:rsid w:val="00F54A14"/>
    <w:rsid w:val="00FA1132"/>
    <w:rsid w:val="00FB4F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EF7F3"/>
  <w15:chartTrackingRefBased/>
  <w15:docId w15:val="{E7850F58-F921-46D8-A2C2-889B67FEC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0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0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01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01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01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01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01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01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01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01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01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01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01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01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01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01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01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013A"/>
    <w:rPr>
      <w:rFonts w:eastAsiaTheme="majorEastAsia" w:cstheme="majorBidi"/>
      <w:color w:val="272727" w:themeColor="text1" w:themeTint="D8"/>
    </w:rPr>
  </w:style>
  <w:style w:type="paragraph" w:styleId="Ttulo">
    <w:name w:val="Title"/>
    <w:basedOn w:val="Normal"/>
    <w:next w:val="Normal"/>
    <w:link w:val="TtuloCar"/>
    <w:uiPriority w:val="10"/>
    <w:qFormat/>
    <w:rsid w:val="002B0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01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01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01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013A"/>
    <w:pPr>
      <w:spacing w:before="160"/>
      <w:jc w:val="center"/>
    </w:pPr>
    <w:rPr>
      <w:i/>
      <w:iCs/>
      <w:color w:val="404040" w:themeColor="text1" w:themeTint="BF"/>
    </w:rPr>
  </w:style>
  <w:style w:type="character" w:customStyle="1" w:styleId="CitaCar">
    <w:name w:val="Cita Car"/>
    <w:basedOn w:val="Fuentedeprrafopredeter"/>
    <w:link w:val="Cita"/>
    <w:uiPriority w:val="29"/>
    <w:rsid w:val="002B013A"/>
    <w:rPr>
      <w:i/>
      <w:iCs/>
      <w:color w:val="404040" w:themeColor="text1" w:themeTint="BF"/>
    </w:rPr>
  </w:style>
  <w:style w:type="paragraph" w:styleId="Prrafodelista">
    <w:name w:val="List Paragraph"/>
    <w:basedOn w:val="Normal"/>
    <w:uiPriority w:val="34"/>
    <w:qFormat/>
    <w:rsid w:val="002B013A"/>
    <w:pPr>
      <w:ind w:left="720"/>
      <w:contextualSpacing/>
    </w:pPr>
  </w:style>
  <w:style w:type="character" w:styleId="nfasisintenso">
    <w:name w:val="Intense Emphasis"/>
    <w:basedOn w:val="Fuentedeprrafopredeter"/>
    <w:uiPriority w:val="21"/>
    <w:qFormat/>
    <w:rsid w:val="002B013A"/>
    <w:rPr>
      <w:i/>
      <w:iCs/>
      <w:color w:val="0F4761" w:themeColor="accent1" w:themeShade="BF"/>
    </w:rPr>
  </w:style>
  <w:style w:type="paragraph" w:styleId="Citadestacada">
    <w:name w:val="Intense Quote"/>
    <w:basedOn w:val="Normal"/>
    <w:next w:val="Normal"/>
    <w:link w:val="CitadestacadaCar"/>
    <w:uiPriority w:val="30"/>
    <w:qFormat/>
    <w:rsid w:val="002B0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013A"/>
    <w:rPr>
      <w:i/>
      <w:iCs/>
      <w:color w:val="0F4761" w:themeColor="accent1" w:themeShade="BF"/>
    </w:rPr>
  </w:style>
  <w:style w:type="character" w:styleId="Referenciaintensa">
    <w:name w:val="Intense Reference"/>
    <w:basedOn w:val="Fuentedeprrafopredeter"/>
    <w:uiPriority w:val="32"/>
    <w:qFormat/>
    <w:rsid w:val="002B013A"/>
    <w:rPr>
      <w:b/>
      <w:bCs/>
      <w:smallCaps/>
      <w:color w:val="0F4761" w:themeColor="accent1" w:themeShade="BF"/>
      <w:spacing w:val="5"/>
    </w:rPr>
  </w:style>
  <w:style w:type="paragraph" w:styleId="Encabezado">
    <w:name w:val="header"/>
    <w:basedOn w:val="Normal"/>
    <w:link w:val="EncabezadoCar"/>
    <w:uiPriority w:val="99"/>
    <w:unhideWhenUsed/>
    <w:rsid w:val="00A930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0ED"/>
  </w:style>
  <w:style w:type="paragraph" w:styleId="Piedepgina">
    <w:name w:val="footer"/>
    <w:basedOn w:val="Normal"/>
    <w:link w:val="PiedepginaCar"/>
    <w:uiPriority w:val="99"/>
    <w:unhideWhenUsed/>
    <w:rsid w:val="00A930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0ED"/>
  </w:style>
  <w:style w:type="paragraph" w:styleId="Listaconnmeros">
    <w:name w:val="List Number"/>
    <w:basedOn w:val="Normal"/>
    <w:uiPriority w:val="99"/>
    <w:unhideWhenUsed/>
    <w:rsid w:val="006C5940"/>
    <w:pPr>
      <w:numPr>
        <w:numId w:val="18"/>
      </w:numPr>
      <w:contextualSpacing/>
    </w:pPr>
  </w:style>
  <w:style w:type="table" w:styleId="Tablaconcuadrcula">
    <w:name w:val="Table Grid"/>
    <w:basedOn w:val="Tablanormal"/>
    <w:uiPriority w:val="39"/>
    <w:rsid w:val="00095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A7E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56DF0-45A8-4F25-B248-74E434823E0F}">
  <we:reference id="wa200010453" version="1.0.0.1" store="es-ES" storeType="OMEX"/>
  <we:alternateReferences>
    <we:reference id="WA200010453" version="1.0.0.1" store="WA200010453" storeType="OMEX"/>
  </we:alternateReferences>
  <we:properties>
    <we:property name="claude.fileId" value="&quot;8e1a5e69-70fc-4809-ba12-9a166b894d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Props1.xml><?xml version="1.0" encoding="utf-8"?>
<ds:datastoreItem xmlns:ds="http://schemas.openxmlformats.org/officeDocument/2006/customXml" ds:itemID="{EBDB3842-B8B9-48EF-8247-1A5B5CB3D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884ABF-1CAD-40B6-B1FB-BA7C29C1AB29}">
  <ds:schemaRefs>
    <ds:schemaRef ds:uri="http://schemas.microsoft.com/sharepoint/v3/contenttype/forms"/>
  </ds:schemaRefs>
</ds:datastoreItem>
</file>

<file path=customXml/itemProps3.xml><?xml version="1.0" encoding="utf-8"?>
<ds:datastoreItem xmlns:ds="http://schemas.openxmlformats.org/officeDocument/2006/customXml" ds:itemID="{DEE13BF9-987E-4826-A146-D06FCA791BDE}">
  <ds:schemaRefs>
    <ds:schemaRef ds:uri="http://schemas.microsoft.com/office/2006/metadata/properties"/>
    <ds:schemaRef ds:uri="http://schemas.microsoft.com/office/infopath/2007/PartnerControls"/>
    <ds:schemaRef ds:uri="0ae40838-9c5f-493f-a866-a93c3a81f338"/>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14</Pages>
  <Words>3639</Words>
  <Characters>21144</Characters>
  <Application>Microsoft Office Word</Application>
  <DocSecurity>0</DocSecurity>
  <Lines>469</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López González del Rey</dc:creator>
  <cp:keywords/>
  <dc:description/>
  <cp:lastModifiedBy>SERGIO LÓPEZ GONZÁLEZ DEL REY</cp:lastModifiedBy>
  <cp:revision>2</cp:revision>
  <cp:lastPrinted>2026-05-11T07:08:00Z</cp:lastPrinted>
  <dcterms:created xsi:type="dcterms:W3CDTF">2026-05-11T10:22:00Z</dcterms:created>
  <dcterms:modified xsi:type="dcterms:W3CDTF">2026-05-11T10:22:00Z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