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Universidad Autónoma de Madrid</w:t>
      </w:r>
    </w:p>
    <w:p>
      <w:pPr>
        <w:jc w:val="center"/>
      </w:pPr>
      <w:r>
        <w:rPr>
          <w:sz w:val="26"/>
        </w:rPr>
        <w:t>Escuela Politécnica Superior</w:t>
      </w:r>
    </w:p>
    <w:p>
      <w:pPr>
        <w:jc w:val="center"/>
      </w:pPr>
      <w:r>
        <w:rPr>
          <w:sz w:val="24"/>
        </w:rPr>
        <w:t>Máster Universitario en Sistemas Interactivos Inteligentes</w:t>
      </w:r>
    </w:p>
    <w:p/>
    <w:p/>
    <w:p>
      <w:pPr>
        <w:jc w:val="center"/>
      </w:pPr>
      <w:r>
        <w:rPr>
          <w:b/>
          <w:color w:val="1F497D"/>
          <w:sz w:val="32"/>
        </w:rPr>
        <w:t>TRABAJO FIN DE MÁSTER</w:t>
      </w:r>
    </w:p>
    <w:p/>
    <w:p>
      <w:pPr>
        <w:jc w:val="center"/>
      </w:pPr>
      <w:r>
        <w:rPr>
          <w:b/>
          <w:sz w:val="30"/>
        </w:rPr>
        <w:t>Predicción de la expansión de variantes de SARS-CoV-2 en la población mediante aprendizaje automático</w:t>
      </w:r>
    </w:p>
    <w:p/>
    <w:p>
      <w:pPr>
        <w:jc w:val="center"/>
      </w:pPr>
      <w:r>
        <w:rPr>
          <w:i/>
          <w:sz w:val="24"/>
        </w:rPr>
        <w:t>Un sistema de vigilancia genómica de dos capas basado en 17 millones de secuencias GISAID</w:t>
      </w:r>
    </w:p>
    <w:p/>
    <w:p/>
    <w:p>
      <w:pPr>
        <w:jc w:val="center"/>
      </w:pPr>
      <w:r>
        <w:rPr>
          <w:b/>
          <w:sz w:val="22"/>
        </w:rPr>
        <w:t xml:space="preserve">Autor: </w:t>
      </w:r>
      <w:r>
        <w:rPr>
          <w:sz w:val="22"/>
        </w:rPr>
        <w:t>Sergio López González del Rey</w:t>
      </w:r>
    </w:p>
    <w:p>
      <w:pPr>
        <w:jc w:val="center"/>
      </w:pPr>
      <w:r>
        <w:rPr>
          <w:b/>
          <w:sz w:val="22"/>
        </w:rPr>
        <w:t xml:space="preserve">Tutor: </w:t>
      </w:r>
      <w:r>
        <w:rPr>
          <w:sz w:val="22"/>
        </w:rPr>
        <w:t>Manuel Sánchez-Montañés Isla</w:t>
      </w:r>
    </w:p>
    <w:p>
      <w:pPr>
        <w:jc w:val="center"/>
      </w:pPr>
      <w:r>
        <w:rPr>
          <w:b/>
          <w:sz w:val="22"/>
        </w:rPr>
        <w:t xml:space="preserve">Curso académico: </w:t>
      </w:r>
      <w:r>
        <w:rPr>
          <w:sz w:val="22"/>
        </w:rPr>
        <w:t>2025-2026</w:t>
      </w:r>
    </w:p>
    <w:p>
      <w:pPr>
        <w:jc w:val="center"/>
      </w:pPr>
      <w:r>
        <w:rPr>
          <w:b/>
          <w:sz w:val="22"/>
        </w:rPr>
        <w:t xml:space="preserve">Convocatoria: </w:t>
      </w:r>
      <w:r>
        <w:rPr>
          <w:sz w:val="22"/>
        </w:rPr>
        <w:t>Septiembre 2026</w:t>
      </w:r>
    </w:p>
    <w:p>
      <w:r>
        <w:br w:type="page"/>
      </w:r>
    </w:p>
    <w:p>
      <w:pPr>
        <w:pStyle w:val="Heading1"/>
      </w:pPr>
      <w:r>
        <w:rPr>
          <w:color w:val="1F497D"/>
        </w:rPr>
        <w:t>Resumen</w:t>
      </w:r>
    </w:p>
    <w:p>
      <w:r>
        <w:t>La pandemia de COVID-19 demostró que la capacidad de anticipar qué variante de SARS-CoV-2 dominará en las próximas semanas tiene un valor práctico inmediato: permite orientar las campañas de vacunación, priorizar recursos de secuenciación y comunicar el riesgo con antelación suficiente para que los sistemas sanitarios se adapten. Sin embargo, la velocidad de evolución viral y la escala de los datos disponibles convierten este problema en un reto metodológico de primer orden.</w:t>
      </w:r>
    </w:p>
    <w:p>
      <w:r>
        <w:t>Este Trabajo Fin de Máster presenta un sistema de predicción de dos capas entrenado sobre 17.152.411 secuencias del repositorio GISAID (descarga de 22 de febrero de 2026). La primera capa utiliza un clasificador LightGBM que predice si una familia Pango crecerá significativamente en las cuatro semanas siguientes, alcanzando un AUC = 0.920 en test independiente (split temporal fijo en 2023-06-01) y AUC = 0.865 en validación walk-forward por épocas pandémicas, con una diferencia split–walk-forward de −0.055 que evidencia ausencia de filtraciones de datos. La segunda capa utiliza un modelo de supervivencia Cox de Riesgos Proporcionales para estimar el tiempo hasta que una variante alcance el 10% de frecuencia global, obteniendo un C-índice de 0.658–0.685 en evaluación in-sample (23 eventos para familias, EPV=7.7).</w:t>
      </w:r>
    </w:p>
    <w:p>
      <w:r>
        <w:t>Una contribución técnica central del trabajo es la eliminación de dos fuentes de filtración de datos (data leakage) identificadas durante el desarrollo: (a) el uso del conjunto de test como señal de parada temprana en LightGBM, corregido mediante una partición interna de validación del 20% temporal, y (b) la ausencia de censura temporal en las etiquetas de entrenamiento, corregida asignando target=1 únicamente si el umbral de dominancia se cruzó antes del corte de entrenamiento. Estas correcciones redujeron el AUC aparente de 0.964 a 0.920, produciendo estimaciones honestas y defendibles.</w:t>
      </w:r>
    </w:p>
    <w:p>
      <w:r>
        <w:t>La integración de ambas capas con un replicador log-lineal modulado por la probabilidad relativa de emergencia de LightGBM (Módulo 7) genera proyecciones semanales de frecuencia de variantes que corrigen el principal fallo del baseline empírico: la proyección errónea de PY como futuro dominante. La validación externa a junio de 2026 obtuvo 1/4 predicciones correctas, 2/4 parciales y 1/4 incorrecta. El único fallo total es el no anticipar BA.3.2.2, una variante emergida de novo en abril de 2026 sin precedente en los datos de entrenamiento, que constituye un límite estructural infranqueable para cualquier sistema basado en datos históricos.</w:t>
      </w:r>
    </w:p>
    <w:p>
      <w:r>
        <w:t>Los análisis SHAP revelan que el sistema aprendió patrones biológicamente coherentes: las mutaciones en el dominio de unión al receptor (RBD) y la convergencia evolutiva (número de familias independientes que adquieren la misma mutación) son los predictores más robustos a nivel de mutación individual, mientras que a nivel de familia Pango la antigüedad y el perfil de escape inmune acumulado son los factores dominantes.</w:t>
      </w:r>
    </w:p>
    <w:p>
      <w:r>
        <w:rPr>
          <w:i/>
        </w:rPr>
        <w:t>Palabras clave: SARS-CoV-2, GISAID, LightGBM, análisis de supervivencia, vigilancia genómica, predicción de variantes, walk-forward, SHAP, evolución convergente.</w:t>
      </w:r>
    </w:p>
    <w:p>
      <w:r>
        <w:br w:type="page"/>
      </w:r>
    </w:p>
    <w:p>
      <w:pPr>
        <w:pStyle w:val="Heading1"/>
      </w:pPr>
      <w:r>
        <w:rPr>
          <w:color w:val="1F497D"/>
        </w:rPr>
        <w:t>Abstract</w:t>
      </w:r>
    </w:p>
    <w:p>
      <w:r>
        <w:t>The COVID-19 pandemic demonstrated that anticipating which SARS-CoV-2 variant will dominate in the coming weeks has immediate practical value: it enables the orientation of vaccination campaigns, prioritization of sequencing resources, and early risk communication. However, the speed of viral evolution and the scale of available data make this a first-order methodological challenge.</w:t>
      </w:r>
    </w:p>
    <w:p>
      <w:r>
        <w:t>This Master's Thesis presents a two-layer prediction system trained on 17,152,411 sequences from the GISAID repository (downloaded February 22, 2026). The first layer uses a LightGBM classifier that predicts whether a Pango family will grow significantly over the next four weeks, achieving AUC = 0.920 on an independent test set (temporal split at 2023-06-01) and AUC = 0.865 in pandemic-epoch walk-forward validation. The second layer uses a Cox Proportional Hazards survival model to estimate time-to-dominance (≥10% global frequency), achieving a C-index of 0.658–0.685 in in-sample evaluation.</w:t>
      </w:r>
    </w:p>
    <w:p>
      <w:r>
        <w:t>A central technical contribution is the identification and correction of two data leakage sources: (a) use of the test set as an early stopping signal in LightGBM, corrected via an internal 20% temporal validation split, and (b) absence of temporal censoring in training labels, corrected by assigning target=1 only when the dominance threshold was crossed before the training cutoff. These corrections reduced apparent AUC from 0.964 to 0.920, yielding honest and defensible estimates.</w:t>
      </w:r>
    </w:p>
    <w:p>
      <w:r>
        <w:t>External validation against June 2026 data yielded 1/4 correct predictions, 2/4 partial, and 1/4 incorrect. The single total failure is the non-anticipation of BA.3.2.2, a variant that emerged de novo in April 2026 with no precursor in the training data—a structural limitation inherent to any history-based prediction system.</w:t>
      </w:r>
    </w:p>
    <w:p>
      <w:r>
        <w:rPr>
          <w:i/>
        </w:rPr>
        <w:t>Keywords: SARS-CoV-2, GISAID, LightGBM, survival analysis, genomic surveillance, variant prediction, walk-forward validation, SHAP, convergent evolution.</w:t>
      </w:r>
    </w:p>
    <w:p>
      <w:r>
        <w:br w:type="page"/>
      </w:r>
    </w:p>
    <w:p>
      <w:pPr>
        <w:pStyle w:val="Heading1"/>
      </w:pPr>
      <w:r>
        <w:rPr>
          <w:color w:val="1F497D"/>
        </w:rPr>
        <w:t>1. Introducción</w:t>
      </w:r>
    </w:p>
    <w:p>
      <w:pPr>
        <w:pStyle w:val="Heading2"/>
      </w:pPr>
      <w:r>
        <w:rPr>
          <w:color w:val="2E74B5"/>
        </w:rPr>
        <w:t>1.1. Contexto epidemiológico</w:t>
      </w:r>
    </w:p>
    <w:p>
      <w:r>
        <w:t>Desde la identificación de SARS-CoV-2 en diciembre de 2019, el virus ha experimentado una evolución acelerada impulsada por la presión inmune de millones de huéspedes infectados y vacunados.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 escapando parcialmente a la inmunidad inducida tanto por infección previa como por vacunación. A partir de ese momento, el paisaje evolutivo cambió cualitativamente.</w:t>
      </w:r>
    </w:p>
    <w:p>
      <w:r>
        <w:t>Las subvariantes de Omicron (BA.2, BA.4/5, XBB, EG.5, JN.1, KP, XFG) se han sucedido con una frecuencia de 2-4 meses, manteniendo un proceso de selección positiva intenso sobre el dominio de unión al receptor (RBD) de la proteína Spike. En la semana de análisis de este trabajo (enero 2026), XFG —un recombinante de KP.1.1 y KP.3.3 detectado por primera vez en Canadá en febrero de 2025— domina globalmente con una frecuencia próxima al 62%, mientras que NB y PQ emergen como challengers principales. Este ritmo de sustitución implica que los sistemas de vigilancia basados exclusivamente en secuenciación reactiva —que reportan qué variante ya es dominante— son insuficientes para la planificación sanitaria.</w:t>
      </w:r>
    </w:p>
    <w:p>
      <w:r>
        <w:t>El repositorio GISAID (Global Initiative on Sharing Avian Influenza Data) ha acumulado más de 17 millones de secuencias SARS-CoV-2 con metadatos estructurados de fecha, país y linaje. Esta escala de datos no tiene precedente en la historia de la epidemiología y constituye una oportunidad única para aplicar métodos de aprendizaje automático que aprendan los patrones dinámicos de la evolución viral directamente de los datos, sin necesidad de modelos mecanísticos explícitos de transmisión o inmunidad.</w:t>
      </w:r>
    </w:p>
    <w:p>
      <w:pPr>
        <w:pStyle w:val="Heading2"/>
      </w:pPr>
      <w:r>
        <w:rPr>
          <w:color w:val="2E74B5"/>
        </w:rPr>
        <w:t>1.2. Motivación y problema</w:t>
      </w:r>
    </w:p>
    <w:p>
      <w:r>
        <w:t>El problema central que aborda este TFM puede formularse de forma precisa: dado el estado del virus en la semana t —frecuencias de variantes, perfiles mutacionales, distribución geográfica—, ¿es posible predecir qué variante dominará en las semanas t+4, t+8, t+16? La respuesta a esta pregunta tiene aplicaciones directas en:</w:t>
      </w:r>
    </w:p>
    <w:p>
      <w:pPr>
        <w:pStyle w:val="ListBullet"/>
      </w:pPr>
      <w:r>
        <w:t>Planificación de campañas de vacunación y actualización de la composición vacunal ante la próxima ola.</w:t>
      </w:r>
    </w:p>
    <w:p>
      <w:pPr>
        <w:pStyle w:val="ListBullet"/>
      </w:pPr>
      <w:r>
        <w:t>Priorización de vigilancia genómica: en qué familias concentrar los recursos limitados de secuenciación.</w:t>
      </w:r>
    </w:p>
    <w:p>
      <w:pPr>
        <w:pStyle w:val="ListBullet"/>
      </w:pPr>
      <w:r>
        <w:t>Diseño anticipado de ensayos clínicos de antivirales y anticuerpos monoclonales específicos.</w:t>
      </w:r>
    </w:p>
    <w:p>
      <w:pPr>
        <w:pStyle w:val="ListBullet"/>
      </w:pPr>
      <w:r>
        <w:t>Comunicación de riesgo a la población con suficiente antelación para que los sistemas sanitarios se adapten.</w:t>
      </w:r>
    </w:p>
    <w:p>
      <w:pPr>
        <w:pStyle w:val="ListBullet"/>
      </w:pPr>
      <w:r>
        <w:t>Orientación de las decisiones de la OMS y los CDC sobre actualización de las recomendaciones de vacunas.</w:t>
      </w:r>
    </w:p>
    <w:p>
      <w:r>
        <w:t>La hipótesis biológica central que motivó el diseño del estudio es que los Haplotipos Discordantes Únicos (UDS, Unique Discordant Sequences) —variantes minoritarias detectadas en pacientes inmunodeprimidos que presentan combinaciones de mutaciones no observadas aún en la población general— podrían anticipar la dirección de la evolución viral. Aunque la integración directa de los datos UDS en el modelo predictivo no fue posible por limitaciones de tamaño muestral (28 pacientes), esta hipótesis orientó el diseño del sistema de vigilancia genómica y abre líneas de trabajo futuro de alto interés.</w:t>
      </w:r>
    </w:p>
    <w:p>
      <w:pPr>
        <w:pStyle w:val="Heading2"/>
      </w:pPr>
      <w:r>
        <w:rPr>
          <w:color w:val="2E74B5"/>
        </w:rPr>
        <w:t>1.3. Objetivos</w:t>
      </w:r>
    </w:p>
    <w:p>
      <w:r>
        <w:t>Los objetivos específicos del trabajo son:</w:t>
      </w:r>
    </w:p>
    <w:p>
      <w:pPr>
        <w:pStyle w:val="ListNumber"/>
      </w:pPr>
      <w:r>
        <w:t>O1. Construir un pipeline automatizado de procesamiento de las 17+ millones de secuencias GISAID mediante streaming eficiente, generando matrices de frecuencia temporal y mutacional como representación estructurada del estado del virus.</w:t>
      </w:r>
    </w:p>
    <w:p>
      <w:pPr>
        <w:pStyle w:val="ListNumber"/>
      </w:pPr>
      <w:r>
        <w:t>O2. Diseñar e implementar una ingeniería de características que capture tanto la dinámica temporal de cada familia Pango (13 features de crecimiento) como su perfil biológico (6 features moleculares) y, opcionalmente, las frecuencias de mutaciones específicas de Spike y NSP12 (30 features adicionales).</w:t>
      </w:r>
    </w:p>
    <w:p>
      <w:pPr>
        <w:pStyle w:val="ListNumber"/>
      </w:pPr>
      <w:r>
        <w:t>O3. Entrenar y validar un clasificador LightGBM para la predicción de crecimiento a T+4 semanas, con validación walk-forward por épocas pandémicas libre de filtraciones de datos, corrigiendo explícitamente las dos fuentes de leakage identificadas: early stopping sobre test y ausencia de censura temporal en etiquetas.</w:t>
      </w:r>
    </w:p>
    <w:p>
      <w:pPr>
        <w:pStyle w:val="ListNumber"/>
      </w:pPr>
      <w:r>
        <w:t>O4. Construir un modelo de supervivencia Cox PH para estimar el tiempo hasta dominancia global (≥10% de frecuencia), tanto para familias Pango como para mutaciones individuales de Spike y NSP12, e interpretar los hazard ratios en términos biológicos.</w:t>
      </w:r>
    </w:p>
    <w:p>
      <w:pPr>
        <w:pStyle w:val="ListNumber"/>
      </w:pPr>
      <w:r>
        <w:t>O5. Integrar ambas capas en una señal de alerta temprana y en un replicador log-lineal cuya fitness sea modulada por la probabilidad relativa de emergencia de LightGBM, generando proyecciones semanales interpretables y biológicamente coherentes.</w:t>
      </w:r>
    </w:p>
    <w:p>
      <w:pPr>
        <w:pStyle w:val="ListNumber"/>
      </w:pPr>
      <w:r>
        <w:t>O6. Validar el sistema prospectivamente contra datos reales disponibles a junio de 2026, cuantificando los aciertos, fallos parciales y fallos totales del sistema, e identificando sus límites estructurales.</w:t>
      </w:r>
    </w:p>
    <w:p>
      <w:pPr>
        <w:pStyle w:val="Heading2"/>
      </w:pPr>
      <w:r>
        <w:rPr>
          <w:color w:val="2E74B5"/>
        </w:rPr>
        <w:t>1.4. Estructura del documento</w:t>
      </w:r>
    </w:p>
    <w:p>
      <w:r>
        <w:t>El documento se organiza en diez secciones. La sección 2 establece el marco teórico biológico, incluyendo la estructura de SARS-CoV-2, la nomenclatura Pango, y los mecanismos de escape inmune relevantes para interpretar los resultados. La sección 3 presenta los fundamentos metodológicos: la formulación del problema como clasificación binaria, el algoritmo LightGBM, la validación walk-forward en series temporales, y el modelo de supervivencia de Cox. La sección 4 describe los datos de GISAID y el pipeline de procesamiento. La sección 5 detalla la ingeniería de características en sus tres capas. La sección 6 presenta los resultados del análisis exploratorio, los modelos de predicción, el análisis de supervivencia y la proyección forward. La sección 7 valida el sistema tanto internamente (walk-forward, backtesting) como externamente (junio 2026). La sección 8 discute las implicaciones técnicas y biológicas. Las secciones 9 y 10 presentan las conclusiones y las líneas de trabajo futuro.</w:t>
      </w:r>
    </w:p>
    <w:p>
      <w:r>
        <w:br w:type="page"/>
      </w:r>
    </w:p>
    <w:p>
      <w:pPr>
        <w:pStyle w:val="Heading1"/>
      </w:pPr>
      <w:r>
        <w:rPr>
          <w:color w:val="1F497D"/>
        </w:rPr>
        <w:t>2. Marco teórico biológico</w:t>
      </w:r>
    </w:p>
    <w:p>
      <w:pPr>
        <w:pStyle w:val="Heading2"/>
      </w:pPr>
      <w:r>
        <w:rPr>
          <w:color w:val="2E74B5"/>
        </w:rPr>
        <w:t>2.1. SARS-CoV-2: estructura y evolución</w:t>
      </w:r>
    </w:p>
    <w:p>
      <w:r>
        <w:t>SARS-CoV-2 es un betacoronavirus de ARN monocatenario de sentido positivo con un genoma de aproximadamente 30 kilobases. Codifica cuatro proteínas estructurales principales (Spike, Envelope, Membrane y Nucleocápside) y un replicón de 16 no estructurales (NSP1-NSP16). La proteína Spike (S) y la ARN polimerasa dependiente de ARN (NSP12/RdRp) son las dos regiones con mayor relevancia funcional para la evolución pandémica y, por tanto, las que este trabajo trata con mayor detalle.</w:t>
      </w:r>
    </w:p>
    <w:p>
      <w:r>
        <w:t>La proteína Spike es el principal determinante del tropismo celular y la evasión inmune. Consta de dos subunidades: S1 (que contiene el dominio N-terminal/NTD y el dominio de unión al receptor/RBD, residuos 319-541) y S2 (responsable de la fusión de membranas). El RBD interacciona directamente con el receptor celular ACE2 y es la diana principal de los anticuerpos neutralizantes generados por la vacunación e infección previa. Las mutaciones en el RBD que permiten evadir estos anticuerpos manteniendo afinidad suficiente por ACE2 son las que confieren ventaja selectiva a una variante en una población con inmunidad híbrida (vacunación + infección).</w:t>
      </w:r>
    </w:p>
    <w:p>
      <w:r>
        <w:t>El sitio de corte furina en la posición 681 de Spike (PRRA↓SVAS) es otra región bajo fuerte selección positiva: las mutaciones P681R/H presentes en Delta y en linajes Omicron tardíos potencian el procesamiento de Spike por la proteasa furina celular, aumentando la eficiencia de fusión y transmisión. En los datos de este trabajo, la mutación Spike_P681R alcanza el 94% de frecuencia global en la semana de análisis (enero 2026), confirmando su papel como mutación de fondo del linaje dominante XFG.</w:t>
      </w:r>
    </w:p>
    <w:p>
      <w:r>
        <w:t>NSP12 (RdRp) es funcionalmente conservada por su papel esencial en la replicación viral, pero no está exenta de variación. Mutaciones como P323L (presente en prácticamente todas las variantes post-Ancestral) alteran la fidelidad de la replicación. La inclusión de mutaciones NSP12 en el análisis (modelos M2-SPNSP30 y M3-SPNSP/ALL) busca capturar señales de cambio en la dinámica de replicación que podrían anticipar emergencia.</w:t>
      </w:r>
    </w:p>
    <w:p>
      <w:pPr>
        <w:pStyle w:val="Heading2"/>
      </w:pPr>
      <w:r>
        <w:rPr>
          <w:color w:val="2E74B5"/>
        </w:rPr>
        <w:t>2.2. Nomenclatura Pango y clasificación de variantes</w:t>
      </w:r>
    </w:p>
    <w:p>
      <w:r>
        <w:t>El sistema de nomenclatura Pango (Phylogenetic Assignment of Named Global Outbreak Lineages, Rambaut et al. 2020)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la granularidad de ~5.000 linajes activos a 435 familias observadas en el período 2020-2026, con suficiente historia temporal para el entrenamiento de los modelos.</w:t>
      </w:r>
    </w:p>
    <w:p>
      <w:r>
        <w:t>Adicionalmente, Nextclade (Aksamentov et al. 2021) proporciona una clasificación alternativa en clados de grano más grueso: 51 clados reconocidos en el período de estudio. Los clados Nextclade son útiles para contextualizar la evolución a escala pandémica (e.g., todos los linajes Omicron pertenecen a clados cuyo nombre empieza por "2", como 21L=BA.2, 22F=XBB) y se utilizan en el modelo M1 de este trabajo.</w:t>
      </w:r>
    </w:p>
    <w:p>
      <w:r>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pPr>
        <w:pStyle w:val="Heading2"/>
      </w:pPr>
      <w:r>
        <w:rPr>
          <w:color w:val="2E74B5"/>
        </w:rPr>
        <w:t>2.3. Épocas pandémicas</w:t>
      </w:r>
    </w:p>
    <w:p>
      <w:r>
        <w:t>La dinámica pandémica no es estacionaria: distintas épocas muestran patrones evolutivos cualitativamente diferentes en cuanto a velocidad de sustitución, intensidad de la presión selectiva y diversidad de variantes co-circulantes. Este trabajo define seis épocas pandémicas basadas en la variante dominante de cada período:</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Época</w:t>
            </w:r>
          </w:p>
        </w:tc>
        <w:tc>
          <w:tcPr>
            <w:tcW w:type="dxa" w:w="2280"/>
          </w:tcPr>
          <w:p>
            <w:pPr>
              <w:jc w:val="center"/>
            </w:pPr>
            <w:r>
              <w:rPr>
                <w:b/>
              </w:rPr>
              <w:t>Período</w:t>
            </w:r>
          </w:p>
        </w:tc>
        <w:tc>
          <w:tcPr>
            <w:tcW w:type="dxa" w:w="2280"/>
          </w:tcPr>
          <w:p>
            <w:pPr>
              <w:jc w:val="center"/>
            </w:pPr>
            <w:r>
              <w:rPr>
                <w:b/>
              </w:rPr>
              <w:t>Variante dominante</w:t>
            </w:r>
          </w:p>
        </w:tc>
        <w:tc>
          <w:tcPr>
            <w:tcW w:type="dxa" w:w="2280"/>
          </w:tcPr>
          <w:p>
            <w:pPr>
              <w:jc w:val="center"/>
            </w:pPr>
            <w:r>
              <w:rPr>
                <w:b/>
              </w:rPr>
              <w:t>Característica clave</w:t>
            </w:r>
          </w:p>
        </w:tc>
      </w:tr>
      <w:tr>
        <w:tc>
          <w:tcPr>
            <w:tcW w:type="dxa" w:w="2280"/>
          </w:tcPr>
          <w:p>
            <w:pPr>
              <w:jc w:val="center"/>
            </w:pPr>
            <w:r>
              <w:t>E1 — Pre-Omicron</w:t>
            </w:r>
          </w:p>
        </w:tc>
        <w:tc>
          <w:tcPr>
            <w:tcW w:type="dxa" w:w="2280"/>
          </w:tcPr>
          <w:p>
            <w:pPr>
              <w:jc w:val="center"/>
            </w:pPr>
            <w:r>
              <w:t>2020-03 a 2021-11</w:t>
            </w:r>
          </w:p>
        </w:tc>
        <w:tc>
          <w:tcPr>
            <w:tcW w:type="dxa" w:w="2280"/>
          </w:tcPr>
          <w:p>
            <w:pPr>
              <w:jc w:val="center"/>
            </w:pPr>
            <w:r>
              <w:t>B.1 → Alpha → Delta</w:t>
            </w:r>
          </w:p>
        </w:tc>
        <w:tc>
          <w:tcPr>
            <w:tcW w:type="dxa" w:w="2280"/>
          </w:tcPr>
          <w:p>
            <w:pPr>
              <w:jc w:val="center"/>
            </w:pPr>
            <w:r>
              <w:t>Variantes de gran divergencia filogenética</w:t>
            </w:r>
          </w:p>
        </w:tc>
      </w:tr>
      <w:tr>
        <w:tc>
          <w:tcPr>
            <w:tcW w:type="dxa" w:w="2280"/>
          </w:tcPr>
          <w:p>
            <w:pPr>
              <w:jc w:val="center"/>
            </w:pPr>
            <w:r>
              <w:t>E2 — Omicron inicial</w:t>
            </w:r>
          </w:p>
        </w:tc>
        <w:tc>
          <w:tcPr>
            <w:tcW w:type="dxa" w:w="2280"/>
          </w:tcPr>
          <w:p>
            <w:pPr>
              <w:jc w:val="center"/>
            </w:pPr>
            <w:r>
              <w:t>2021-11 a 2022-06</w:t>
            </w:r>
          </w:p>
        </w:tc>
        <w:tc>
          <w:tcPr>
            <w:tcW w:type="dxa" w:w="2280"/>
          </w:tcPr>
          <w:p>
            <w:pPr>
              <w:jc w:val="center"/>
            </w:pPr>
            <w:r>
              <w:t>BA.1 → BA.2</w:t>
            </w:r>
          </w:p>
        </w:tc>
        <w:tc>
          <w:tcPr>
            <w:tcW w:type="dxa" w:w="2280"/>
          </w:tcPr>
          <w:p>
            <w:pPr>
              <w:jc w:val="center"/>
            </w:pPr>
            <w:r>
              <w:t>Explosión de diversidad, escape inmune masivo</w:t>
            </w:r>
          </w:p>
        </w:tc>
      </w:tr>
      <w:tr>
        <w:tc>
          <w:tcPr>
            <w:tcW w:type="dxa" w:w="2280"/>
          </w:tcPr>
          <w:p>
            <w:pPr>
              <w:jc w:val="center"/>
            </w:pPr>
            <w:r>
              <w:t>E3 — BA.4/5</w:t>
            </w:r>
          </w:p>
        </w:tc>
        <w:tc>
          <w:tcPr>
            <w:tcW w:type="dxa" w:w="2280"/>
          </w:tcPr>
          <w:p>
            <w:pPr>
              <w:jc w:val="center"/>
            </w:pPr>
            <w:r>
              <w:t>2022-06 a 2022-12</w:t>
            </w:r>
          </w:p>
        </w:tc>
        <w:tc>
          <w:tcPr>
            <w:tcW w:type="dxa" w:w="2280"/>
          </w:tcPr>
          <w:p>
            <w:pPr>
              <w:jc w:val="center"/>
            </w:pPr>
            <w:r>
              <w:t>BA.4/5</w:t>
            </w:r>
          </w:p>
        </w:tc>
        <w:tc>
          <w:tcPr>
            <w:tcW w:type="dxa" w:w="2280"/>
          </w:tcPr>
          <w:p>
            <w:pPr>
              <w:jc w:val="center"/>
            </w:pPr>
            <w:r>
              <w:t>Dominio de sublinajes con F486V</w:t>
            </w:r>
          </w:p>
        </w:tc>
      </w:tr>
      <w:tr>
        <w:tc>
          <w:tcPr>
            <w:tcW w:type="dxa" w:w="2280"/>
          </w:tcPr>
          <w:p>
            <w:pPr>
              <w:jc w:val="center"/>
            </w:pPr>
            <w:r>
              <w:t>E4 — XBB</w:t>
            </w:r>
          </w:p>
        </w:tc>
        <w:tc>
          <w:tcPr>
            <w:tcW w:type="dxa" w:w="2280"/>
          </w:tcPr>
          <w:p>
            <w:pPr>
              <w:jc w:val="center"/>
            </w:pPr>
            <w:r>
              <w:t>2022-12 a 2023-09</w:t>
            </w:r>
          </w:p>
        </w:tc>
        <w:tc>
          <w:tcPr>
            <w:tcW w:type="dxa" w:w="2280"/>
          </w:tcPr>
          <w:p>
            <w:pPr>
              <w:jc w:val="center"/>
            </w:pPr>
            <w:r>
              <w:t>XBB.1.5 → EG.5</w:t>
            </w:r>
          </w:p>
        </w:tc>
        <w:tc>
          <w:tcPr>
            <w:tcW w:type="dxa" w:w="2280"/>
          </w:tcPr>
          <w:p>
            <w:pPr>
              <w:jc w:val="center"/>
            </w:pPr>
            <w:r>
              <w:t>Recombinantes, convergencia en 486</w:t>
            </w:r>
          </w:p>
        </w:tc>
      </w:tr>
      <w:tr>
        <w:tc>
          <w:tcPr>
            <w:tcW w:type="dxa" w:w="2280"/>
          </w:tcPr>
          <w:p>
            <w:pPr>
              <w:jc w:val="center"/>
            </w:pPr>
            <w:r>
              <w:t>E5 — JN/KP</w:t>
            </w:r>
          </w:p>
        </w:tc>
        <w:tc>
          <w:tcPr>
            <w:tcW w:type="dxa" w:w="2280"/>
          </w:tcPr>
          <w:p>
            <w:pPr>
              <w:jc w:val="center"/>
            </w:pPr>
            <w:r>
              <w:t>2023-09 a 2025-06</w:t>
            </w:r>
          </w:p>
        </w:tc>
        <w:tc>
          <w:tcPr>
            <w:tcW w:type="dxa" w:w="2280"/>
          </w:tcPr>
          <w:p>
            <w:pPr>
              <w:jc w:val="center"/>
            </w:pPr>
            <w:r>
              <w:t>JN.1 → KP → KP.3</w:t>
            </w:r>
          </w:p>
        </w:tc>
        <w:tc>
          <w:tcPr>
            <w:tcW w:type="dxa" w:w="2280"/>
          </w:tcPr>
          <w:p>
            <w:pPr>
              <w:jc w:val="center"/>
            </w:pPr>
            <w:r>
              <w:t>BA.2.86 y descendientes, gran divergencia</w:t>
            </w:r>
          </w:p>
        </w:tc>
      </w:tr>
      <w:tr>
        <w:tc>
          <w:tcPr>
            <w:tcW w:type="dxa" w:w="2280"/>
          </w:tcPr>
          <w:p>
            <w:pPr>
              <w:jc w:val="center"/>
            </w:pPr>
            <w:r>
              <w:t>E6 — XFG</w:t>
            </w:r>
          </w:p>
        </w:tc>
        <w:tc>
          <w:tcPr>
            <w:tcW w:type="dxa" w:w="2280"/>
          </w:tcPr>
          <w:p>
            <w:pPr>
              <w:jc w:val="center"/>
            </w:pPr>
            <w:r>
              <w:t>2025-06 a 2026-02</w:t>
            </w:r>
          </w:p>
        </w:tc>
        <w:tc>
          <w:tcPr>
            <w:tcW w:type="dxa" w:w="2280"/>
          </w:tcPr>
          <w:p>
            <w:pPr>
              <w:jc w:val="center"/>
            </w:pPr>
            <w:r>
              <w:t>XFG</w:t>
            </w:r>
          </w:p>
        </w:tc>
        <w:tc>
          <w:tcPr>
            <w:tcW w:type="dxa" w:w="2280"/>
          </w:tcPr>
          <w:p>
            <w:pPr>
              <w:jc w:val="center"/>
            </w:pPr>
            <w:r>
              <w:t>Recombinante KP.1.1×KP.3.3, "Stratus"</w:t>
            </w:r>
          </w:p>
        </w:tc>
      </w:tr>
    </w:tbl>
    <w:p/>
    <w:p>
      <w:r>
        <w:t>Esta segmentación temporal es crucial metodológicamente: los cinco folds del walk-forward se definen precisamente sobre estas épocas para que la validación temporal sea epidemiológicamente significativa, es decir, que cada fold represente un cambio real en el paisaje viral al que el modelo no ha tenido acceso durante el entrenamiento.</w:t>
      </w:r>
    </w:p>
    <w:p>
      <w:pPr>
        <w:pStyle w:val="Heading2"/>
      </w:pPr>
      <w:r>
        <w:rPr>
          <w:color w:val="2E74B5"/>
        </w:rPr>
        <w:t>2.4. Mecanismos de escape inmune y mutaciones clave</w:t>
      </w:r>
    </w:p>
    <w:p>
      <w:r>
        <w:t>La presión selectiva sobre el RBD de Spike está dominada por la respuesta de anticuerpos de la población, que tras seis años de pandemia ha sido moldeada por múltiples rondas de vacunación e infección. Los epítopos principales del RBD se clasifican en cuatro clases (Barnes et al. 2020): la clase 1 cubre el sitio de unión a ACE2 directamente (posiciones ~417, 453, 501), la clase 2 cubre el flanco del RBD (posiciones ~346, 484, 452), la clase 3 el flanco opuesto (posiciones ~444-447, 340-346) y la clase 4 la cara inferior del RBD. Las mutaciones en estas posiciones —especialmente 346, 444-447, 484, 486, 490, 501— son las de mayor hazard ratio en el modelo Cox de mutaciones de este trabajo.</w:t>
      </w:r>
    </w:p>
    <w:p>
      <w:r>
        <w:t>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el feature n_families del modelo de mutaciones (M3-SPNSP) está diseñado para detectar.</w:t>
      </w:r>
    </w:p>
    <w:p>
      <w:r>
        <w:t>XFG, la variante dominante en enero 2026, fue designada como "Variante Bajo Monitorización" (VUM) por la OMS en junio de 2025 y escalada a VOI en septiembre de 2025. Deriva del recombinante de KP.1.1 (donante 5' del genoma) y KP.3.3 (donante 3'), heredando de ambos sus mutaciones de escape inmune características. Su fitness empírica (tasa de crecimiento log-lineal sobre las 8 semanas previas al corte de datos) es negativa en enero 2026 (log_growth_8w ≈ −0.10), indicando que ha alcanzado su pico de dominancia y está comenzando a ser desplazada por sus sucesores.</w:t>
      </w:r>
    </w:p>
    <w:p>
      <w:r>
        <w:br w:type="page"/>
      </w:r>
    </w:p>
    <w:p>
      <w:pPr>
        <w:pStyle w:val="Heading1"/>
      </w:pPr>
      <w:r>
        <w:rPr>
          <w:color w:val="1F497D"/>
        </w:rPr>
        <w:t>3. Fundamentos metodológicos</w:t>
      </w:r>
    </w:p>
    <w:p>
      <w:pPr>
        <w:pStyle w:val="Heading2"/>
      </w:pPr>
      <w:r>
        <w:rPr>
          <w:color w:val="2E74B5"/>
        </w:rPr>
        <w:t>3.1. El problema de predicción como clasificación binaria</w:t>
      </w:r>
    </w:p>
    <w:p>
      <w:r>
        <w:t>La predicción de crecimiento viral se formula como un problema de clasificación binaria en un contexto de series temporales con fuerte desbalanceo de clases. Para cada familia Pango f y semana t, se construye un ejemplo de entrenamiento con features calculadas sobre la historia [t-8, t] y una etiqueta:</w:t>
      </w:r>
    </w:p>
    <w:p>
      <w:r>
        <w:rPr>
          <w:b/>
        </w:rPr>
        <w:t>target_growth = 1  si  max(freq[t+1..t+4]) ≥ 1.5 × freq(t)  Y  max(freq[t+1..t+4]) ≥ 0.005</w:t>
      </w:r>
    </w:p>
    <w:p>
      <w:r>
        <w:t>La doble condición exige tanto un crecimiento relativo mínimo del 50% como una frecuencia absoluta mínima del 0.5%, evitando que fluctuaciones de variantes rarísimas (una secuencia en un país) generen positivos espurios. El desbalanceo resultante —aproximadamente 4-9% de positivos según el dataset— es un reflejo directo de la realidad epidemiológica: la mayoría de variantes detectadas en un momento dado son residuales o en declive, no emergentes.</w:t>
      </w:r>
    </w:p>
    <w:p>
      <w:r>
        <w:t>Una decisión de diseño crítica, y que distingue este trabajo de aproximaciones más simples, es la censura temporal de las etiquetas de entrenamiento. Inicialmente, el target se calculaba como max(freq[t+1..fin_datos]), es decir, usando toda la historia disponible. Esto introduce una filtración de datos (data leakage) porque el modelo de entrenamiento aprende sobre eventos futuros respecto al corte de validación. La corrección implementada es:</w:t>
      </w:r>
    </w:p>
    <w:p>
      <w:r>
        <w:rPr>
          <w:b/>
        </w:rPr>
        <w:t>target_train = 1  solo si  el umbral se cruzó ANTES de la fecha de corte de entrenamiento (2023-06-01)</w:t>
      </w:r>
    </w:p>
    <w:p>
      <w:r>
        <w:t>Esto garantiza que el modelo solo aprende de señales disponibles en el momento de predicción y no de información futura filtrada hacia atrás en el tiempo. El impacto cuantitativo de esta corrección fue una reducción del AUC test de M3-SPNSP de 0.964 a 0.920, revelando la magnitud del sesgo introducido por la versión no censurada.</w:t>
      </w:r>
    </w:p>
    <w:p>
      <w:pPr>
        <w:pStyle w:val="Heading2"/>
      </w:pPr>
      <w:r>
        <w:rPr>
          <w:color w:val="2E74B5"/>
        </w:rPr>
        <w:t>3.2. LightGBM: gradient boosting para datos tabulares</w:t>
      </w:r>
    </w:p>
    <w:p>
      <w:r>
        <w:t>LightGBM (Light Gradient Boosting Machine, Ke et al. 2017) es un algoritmo de ensamble basado en árboles de decisión que construye secuencialmente árboles que corrigen los residuos del ensamble anterior. A diferencia de XGBoost, LightGBM utiliza un enfoque leaf-wise (crece el nodo con mayor ganancia de información en cada paso) en lugar de level-wise, lo que produce modelos más profundos y precisos con el mismo número de hojas. El algoritmo también implementa Gradient-based One-Side Sampling (GOSS) para reducir el número de ejemplos usados en cada árbol sin pérdida significativa de información, y Exclusive Feature Bundling (EFB) para agrupar features mutuamente exclusivas.</w:t>
      </w:r>
    </w:p>
    <w:p>
      <w:r>
        <w:t>Para lectores con perfil biológico: LightGBM puede entenderse como un sistema que aprende reglas jerárquicas del tipo "si log_growth_8w &gt; 0.15 Y n_countries &gt; 8 Y freq_t0 &lt; 0.10, entonces alta probabilidad de emergencia". Cada árbol del ensamble captura una regla diferente, y la predicción final es la suma ponderada de todas ellas. El número de árboles (iteraciones) se determina por early stopping sobre un conjunto de validación separado.</w:t>
      </w:r>
    </w:p>
    <w:p>
      <w:r>
        <w:t>Los hiperparámetros utilizados en todos los modelos son: num_leaves=31, learning_rate=0.05, min_child_samples=10, subsample=0.8, colsample_bytree=0.8, lambda_l1=0.5, lambda_l2=1.0 y scale_pos_weight ajustado para compensar el desbalanceo de clases (ratio negativo/positivo de cada dataset). La métrica de evaluación durante el entrenamiento es el AUC-ROC, y se usa early_stopping_rounds=20 sobre un conjunto de validación interna (20% temporal del train, no el test).</w:t>
      </w:r>
    </w:p>
    <w:p>
      <w:r>
        <w:t>Nota importante sobre la calibración de probabilidades: el uso de scale_pos_weight provoca que las probabilidades predichas por LightGBM no estén calibradas en sentido absoluto —tienden a concentrarse en el rango 0.30-0.49 en lugar de reflejar frecuencias empíricas reales. El AUC-ROC valida el ranking relativo (ordenación) de los ejemplos, no las probabilidades absolutas. Por este motivo, los niveles de alerta del sistema de vigilancia (HIGH ≥ 0.60, MEDIUM ≥ 0.30) son umbrales operativos sobre el ranking relativo, no probabilidades calibradas, y el sistema de proyección forward utiliza reescalado min-max relativo en lugar de probabilidades brutas.</w:t>
      </w:r>
    </w:p>
    <w:p>
      <w:pPr>
        <w:pStyle w:val="Heading2"/>
      </w:pPr>
      <w:r>
        <w:rPr>
          <w:color w:val="2E74B5"/>
        </w:rPr>
        <w:t>3.3. Filtraciones de datos en series temporales: identificación y corrección</w:t>
      </w:r>
    </w:p>
    <w:p>
      <w:r>
        <w:t>Las filtraciones de datos (data leakage)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r>
        <w:t>En este trabajo se identificaron y corrigieron dos filtraciones:</w:t>
      </w:r>
    </w:p>
    <w:p>
      <w:r>
        <w:rPr>
          <w:b/>
        </w:rPr>
        <w:t>Filtración 1: Early stopping sobre el conjunto de test</w:t>
      </w:r>
    </w:p>
    <w:p>
      <w:r>
        <w:t>En la implementación inicial, el parámetro early_stopping_rounds de LightGBM monitorizaba el AUC sobre el conjunto de test (datos ≥ 2023-06-01) para decidir cuándo detener el entrenamiento. Esto convierte el conjunto de test en un conjunto de validación implícito: el número de árboles se elige para maximizar el AUC en test, lo que introduce un sesgo hacia modelos sobreajustados a ese conjunto específico. La corrección implementada reserva el 20% temporal del conjunto de entrenamiento (las últimas semanas antes del corte) como validación interna, usando ese subconjunto para el early stopping y manteniendo el test completamente aislado.</w:t>
      </w:r>
    </w:p>
    <w:p>
      <w:r>
        <w:rPr>
          <w:b/>
        </w:rPr>
        <w:t>Filtración 2: Ausencia de censura temporal en las etiquetas</w:t>
      </w:r>
    </w:p>
    <w:p>
      <w:r>
        <w:t>El target binario se calculaba inicialmente como "¿alcanzará esta variante el umbral en algún momento futuro?", usando toda la historia disponible. Esto hace que el modelo aprenda de información del futuro respecto al corte de validación: una variante que domina en 2025 recibe target=1 incluso cuando se usa como ejemplo de entrenamiento en 2022, aunque en 2022 todavía no había señal observable de su emergencia. La función _cens_target(d, censor_week) implementada asigna target=1 solo si el umbral de dominancia se cruzó antes de la semana de corte, garantizando que cada ejemplo de entrenamiento solo contiene información disponible en ese momento.</w:t>
      </w:r>
    </w:p>
    <w:p>
      <w:r>
        <w:t>El impacto combinado de estas dos filtraciones fue una inflación artificial del AUC de M3-SPNSP de 0.920 a 0.964, y del AUC walk-forward de M2 de 0.827 a un valor espuriamente alto donde el fold KP/XEC presentaba iter=1 (el modelo no llegaba a converger porque la señal de test era tan ruidosa que early stopping detenia el entrenamiento inmediatamente). La corrección de ambas filtraciones restaura el comportamiento esperado: walk-forward consistentemente menor que split (Δ = −0.02 a −0.08 según el dataset), lo que constituye evidencia directa de que la metodología es libre de filtraciones.</w:t>
      </w:r>
    </w:p>
    <w:p>
      <w:pPr>
        <w:pStyle w:val="Heading2"/>
      </w:pPr>
      <w:r>
        <w:rPr>
          <w:color w:val="2E74B5"/>
        </w:rPr>
        <w:t>3.4. Validación en series temporales: walk-forward por épocas pandémicas</w:t>
      </w:r>
    </w:p>
    <w:p>
      <w:r>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r>
        <w:t>En este trabajo se utiliza walk-forward validation por épocas pandémicas, que tiene mayor sentido biológico que una partición temporal arbitraria. Se definen cinco folds de entrenamiento-test, cada uno correspondiente a una transición entre épocas pandémicas. En cada fold k:</w:t>
      </w:r>
    </w:p>
    <w:p>
      <w:pPr>
        <w:pStyle w:val="ListBullet"/>
      </w:pPr>
      <w:r>
        <w:t>El modelo se entrena sobre todos los datos hasta el inicio de la época k+1.</w:t>
      </w:r>
    </w:p>
    <w:p>
      <w:pPr>
        <w:pStyle w:val="ListBullet"/>
      </w:pPr>
      <w:r>
        <w:t>Se evalúa exclusivamente sobre los datos de la época k+1.</w:t>
      </w:r>
    </w:p>
    <w:p>
      <w:pPr>
        <w:pStyle w:val="ListBullet"/>
      </w:pPr>
      <w:r>
        <w:t>Las etiquetas se censuran al inicio de la época k+1 (no se usa información posterior).</w:t>
      </w:r>
    </w:p>
    <w:p>
      <w:pPr>
        <w:pStyle w:val="ListBullet"/>
      </w:pPr>
      <w:r>
        <w:t>El early stopping usa el 20% temporal del conjunto de entrenamiento, no el test.</w:t>
      </w:r>
    </w:p>
    <w:p>
      <w:r>
        <w:t>El AUC final del walk-forward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pPr>
        <w:pStyle w:val="Heading2"/>
      </w:pPr>
      <w:r>
        <w:rPr>
          <w:color w:val="2E74B5"/>
        </w:rPr>
        <w:t>3.5. Análisis de supervivencia: modelo de Cox PH</w:t>
      </w:r>
    </w:p>
    <w:p>
      <w:r>
        <w:t>El modelo de Cox de Riesgos Proporcionales (Cox 1972) es el estándar en bioestadística para analizar el tiempo hasta un evento (supervivencia, tiempo hasta fallo, tiempo hasta dominancia). Modela el riesgo instantáneo de que el evento ocurra en el momento t dado que no ha ocurrido antes, condicionado a las covariables X:</w:t>
      </w:r>
    </w:p>
    <w:p>
      <w:r>
        <w:rPr>
          <w:b/>
        </w:rPr>
        <w:t>h(t | X) = h₀(t) · exp(β₁X₁ + β₂X₂ + ... + βₖXₖ)</w:t>
      </w:r>
    </w:p>
    <w:p>
      <w:r>
        <w:t>donde h₀(t) es el riesgo basal no paramétrico (común a todos los individuos) y exp(βⱼ) es el Hazard Ratio (HR) de la covariable Xⱼ: un HR &gt; 1 indica que valores altos de Xⱼ están asociados con mayor riesgo de que el evento ocurra antes (más rápido hacia la dominancia, en este contexto). El modelo asume que los HRs son proporcionales en el tiempo (no cambian a lo largo de la pandemia), lo que se verifica mediante los residuos de Schoenfeld.</w:t>
      </w:r>
    </w:p>
    <w:p>
      <w:r>
        <w:t>Para lectores con perfil de IA: Cox PH puede interpretarse como una regresión logística extendida al tiempo. Las features de entrada son las mismas que en LightGBM (características de la variante en el momento de detección), pero la variable objetivo no es binaria sino el tiempo hasta el evento, con posibilidad de censura (variantes que nunca alcanzaron el umbral durante el período de observación). La función predict_partial_hazard devuelve un score proporcional al riesgo relativo de cada variante respecto a la media, siempre finito (a diferencia de predict_median, que devuelve infinito cuando la curva de supervivencia no cruza el 50% durante el período de observación, lo que ocurre con variantes de baja tasa de eventos).</w:t>
      </w:r>
    </w:p>
    <w:p>
      <w:r>
        <w:t>En este trabajo se ajustan dos modelos Cox: uno sobre 435 familias Pango con evento definido como alcanzar el 10% de frecuencia global (23 eventos observados, EPV=7.7, ligeramente por debajo del umbral clásico de EPV=10), y otro sobre las mutaciones Spike+NSP12 con evento definido como alcanzar el 30% de frecuencia global (101 eventos). Ambos modelos se evalúan in-sample (sin holdout independiente) por el número limitado de eventos, y sus C-índices (0.658 y 0.685 respectivamente) deben interpretarse como medidas de bondad de ajuste y ordenación descriptiva, no como capacidad predictiva validada fuera de muestra.</w:t>
      </w:r>
    </w:p>
    <w:p>
      <w:r>
        <w:br w:type="page"/>
      </w:r>
    </w:p>
    <w:p>
      <w:pPr>
        <w:pStyle w:val="Heading1"/>
      </w:pPr>
      <w:r>
        <w:rPr>
          <w:color w:val="1F497D"/>
        </w:rPr>
        <w:t>4. Datos</w:t>
      </w:r>
    </w:p>
    <w:p>
      <w:pPr>
        <w:pStyle w:val="Heading2"/>
      </w:pPr>
      <w:r>
        <w:rPr>
          <w:color w:val="2E74B5"/>
        </w:rPr>
        <w:t>4.1. GISAID: repositorio global de secuencias</w:t>
      </w:r>
    </w:p>
    <w:p>
      <w:r>
        <w:t>GISAID (Global Initiative on Sharing Avian Influenza Data) es el repositorio internacional de referencia para secuencias de SARS-CoV-2. Fundado en 2008 para influenza,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r>
        <w:t>El dataset utilizado corresponde a la descarga de metadatos GISAID del 22 de febrero de 2026, que incluye 17.152.411 secuencias. No se utilizan las secuencias nucleotídicas completas (ficheros FASTA), sino únicamente los metadatos y la lista de mutaciones precomputada, lo que reduce sustancialmente el coste computacional: el procesamiento de 17 millones de registros tabulares requiere aproximadamente 40 minutos en un ordenador personal estándar mediante streaming, frente a las semanas que requeriría el alineamiento y análisis de las secuencias brutas.</w:t>
      </w:r>
    </w:p>
    <w:p>
      <w:pPr>
        <w:pStyle w:val="Heading2"/>
      </w:pPr>
      <w:r>
        <w:rPr>
          <w:color w:val="2E74B5"/>
        </w:rPr>
        <w:t>4.2. Pipeline de procesamiento y streaming</w:t>
      </w:r>
    </w:p>
    <w:p>
      <w:r>
        <w:t>El procesamiento de 17 millones de registros se implementa mediante streaming en chunks de 50.000 filas para evitar la carga total en memoria (implementación en la celda 1.3 del notebook). Para cada chunk se aplican los siguientes filtros de calidad:</w:t>
      </w:r>
    </w:p>
    <w:p>
      <w:pPr>
        <w:pStyle w:val="ListBullet"/>
      </w:pPr>
      <w:r>
        <w:t>Fecha de colección válida en formato YYYY-MM-DD (elimina ~8% de registros con fechas incompletas o formatos inconsistentes).</w:t>
      </w:r>
    </w:p>
    <w:p>
      <w:pPr>
        <w:pStyle w:val="ListBullet"/>
      </w:pPr>
      <w:r>
        <w:t>Linaje Pango presente y diferente de "None" o "Unassigned" (garantiza que la secuencia ha sido clasificada filogenéticamente).</w:t>
      </w:r>
    </w:p>
    <w:p>
      <w:pPr>
        <w:pStyle w:val="ListBullet"/>
      </w:pPr>
      <w:r>
        <w:t>Al menos una sustitución aminoacídica reportada en el campo AA Substitutions (elimina secuencias de baja calidad sin variación anotada).</w:t>
      </w:r>
    </w:p>
    <w:p>
      <w:pPr>
        <w:pStyle w:val="ListBullet"/>
      </w:pPr>
      <w:r>
        <w:t>Fecha posterior a 2020-01-01 (elimina datos históricos de SARS relacionados).</w:t>
      </w:r>
    </w:p>
    <w:p>
      <w:r>
        <w:t>Tras el filtrado, se agrega a nivel semanal (ISO week) y de familia Pango, generando tres estructuras de datos fundamentales:</w:t>
      </w:r>
    </w:p>
    <w:p>
      <w:pPr>
        <w:pStyle w:val="ListBullet"/>
      </w:pPr>
      <w:r>
        <w:t>Matriz de frecuencia temporal df_pivot: (semanas × familias Pango), donde cada celda contiene la frecuencia relativa de esa familia en esa semana (número de secuencias de la familia / total de secuencias de esa semana).</w:t>
      </w:r>
    </w:p>
    <w:p>
      <w:pPr>
        <w:pStyle w:val="ListBullet"/>
      </w:pPr>
      <w:r>
        <w:t>Matriz de presencia mutacional mut_matrix: (semanas × mutaciones Spike+NSP12), análoga a la anterior pero a nivel de mutación individual.</w:t>
      </w:r>
    </w:p>
    <w:p>
      <w:pPr>
        <w:pStyle w:val="ListBullet"/>
      </w:pPr>
      <w:r>
        <w:t>Dataset de haplotipos diferencial df_family_time: tabla expandida con una fila por (familia, semana) con todas las features temporales y biológicas pre-calculadas.</w:t>
      </w:r>
    </w:p>
    <w:p>
      <w:r>
        <w:t>La exclusión del fondo Omicron compartido es un paso crucial para el análisis mutacional diferencial: aproximadamente 60 mutaciones están presentes en &gt;95% de todas las secuencias Omicron (e.g., Spike_K417N, Spike_N501Y en BA.1, o Spike_R346T, Spike_L452R en BA.4/5 en su momento) y no aportan información discriminativa entre familias actuales. Estas mutaciones se identifican como las de frecuencia global &gt;0.90 en la semana de análisis y se excluyen del ranking mutacional, mostrando únicamente las mutaciones que diferencian a una familia del fondo común de Omicron tardío.</w:t>
      </w:r>
    </w:p>
    <w:p>
      <w:pPr>
        <w:pStyle w:val="Heading2"/>
      </w:pPr>
      <w:r>
        <w:rPr>
          <w:color w:val="2E74B5"/>
        </w:rPr>
        <w:t>4.3. Descripción del dataset final</w:t>
      </w:r>
    </w:p>
    <w:p>
      <w:r>
        <w:t>Tras el procesamiento y la construcción de features, los datasets disponibles para el entrenamiento de los modelos son los siguientes: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rPr>
              <w:t>Dataset</w:t>
            </w:r>
          </w:p>
        </w:tc>
        <w:tc>
          <w:tcPr>
            <w:tcW w:type="dxa" w:w="1520"/>
          </w:tcPr>
          <w:p>
            <w:pPr>
              <w:jc w:val="center"/>
            </w:pPr>
            <w:r>
              <w:rPr>
                <w:b/>
              </w:rPr>
              <w:t>Nivel</w:t>
            </w:r>
          </w:p>
        </w:tc>
        <w:tc>
          <w:tcPr>
            <w:tcW w:type="dxa" w:w="1520"/>
          </w:tcPr>
          <w:p>
            <w:pPr>
              <w:jc w:val="center"/>
            </w:pPr>
            <w:r>
              <w:rPr>
                <w:b/>
              </w:rPr>
              <w:t>Observaciones</w:t>
            </w:r>
          </w:p>
        </w:tc>
        <w:tc>
          <w:tcPr>
            <w:tcW w:type="dxa" w:w="1520"/>
          </w:tcPr>
          <w:p>
            <w:pPr>
              <w:jc w:val="center"/>
            </w:pPr>
            <w:r>
              <w:rPr>
                <w:b/>
              </w:rPr>
              <w:t>Features</w:t>
            </w:r>
          </w:p>
        </w:tc>
        <w:tc>
          <w:tcPr>
            <w:tcW w:type="dxa" w:w="1520"/>
          </w:tcPr>
          <w:p>
            <w:pPr>
              <w:jc w:val="center"/>
            </w:pPr>
            <w:r>
              <w:rPr>
                <w:b/>
              </w:rPr>
              <w:t>Positivos</w:t>
            </w:r>
          </w:p>
        </w:tc>
        <w:tc>
          <w:tcPr>
            <w:tcW w:type="dxa" w:w="1520"/>
          </w:tcPr>
          <w:p>
            <w:pPr>
              <w:jc w:val="center"/>
            </w:pPr>
            <w:r>
              <w:rPr>
                <w:b/>
              </w:rPr>
              <w:t>Uso</w:t>
            </w:r>
          </w:p>
        </w:tc>
      </w:tr>
      <w:tr>
        <w:tc>
          <w:tcPr>
            <w:tcW w:type="dxa" w:w="1520"/>
          </w:tcPr>
          <w:p>
            <w:pPr>
              <w:jc w:val="center"/>
            </w:pPr>
            <w:r>
              <w:t>M1</w:t>
            </w:r>
          </w:p>
        </w:tc>
        <w:tc>
          <w:tcPr>
            <w:tcW w:type="dxa" w:w="1520"/>
          </w:tcPr>
          <w:p>
            <w:pPr>
              <w:jc w:val="center"/>
            </w:pPr>
            <w:r>
              <w:t>Clado Nextclade</w:t>
            </w:r>
          </w:p>
        </w:tc>
        <w:tc>
          <w:tcPr>
            <w:tcW w:type="dxa" w:w="1520"/>
          </w:tcPr>
          <w:p>
            <w:pPr>
              <w:jc w:val="center"/>
            </w:pPr>
            <w:r>
              <w:t>~8.500</w:t>
            </w:r>
          </w:p>
        </w:tc>
        <w:tc>
          <w:tcPr>
            <w:tcW w:type="dxa" w:w="1520"/>
          </w:tcPr>
          <w:p>
            <w:pPr>
              <w:jc w:val="center"/>
            </w:pPr>
            <w:r>
              <w:t>19 temp+bio</w:t>
            </w:r>
          </w:p>
        </w:tc>
        <w:tc>
          <w:tcPr>
            <w:tcW w:type="dxa" w:w="1520"/>
          </w:tcPr>
          <w:p>
            <w:pPr>
              <w:jc w:val="center"/>
            </w:pPr>
            <w:r>
              <w:t>~6%</w:t>
            </w:r>
          </w:p>
        </w:tc>
        <w:tc>
          <w:tcPr>
            <w:tcW w:type="dxa" w:w="1520"/>
          </w:tcPr>
          <w:p>
            <w:pPr>
              <w:jc w:val="center"/>
            </w:pPr>
            <w:r>
              <w:t>Modelo de grano grueso</w:t>
            </w:r>
          </w:p>
        </w:tc>
      </w:tr>
      <w:tr>
        <w:tc>
          <w:tcPr>
            <w:tcW w:type="dxa" w:w="1520"/>
          </w:tcPr>
          <w:p>
            <w:pPr>
              <w:jc w:val="center"/>
            </w:pPr>
            <w:r>
              <w:t>M2</w:t>
            </w:r>
          </w:p>
        </w:tc>
        <w:tc>
          <w:tcPr>
            <w:tcW w:type="dxa" w:w="1520"/>
          </w:tcPr>
          <w:p>
            <w:pPr>
              <w:jc w:val="center"/>
            </w:pPr>
            <w:r>
              <w:t>Familia Pango</w:t>
            </w:r>
          </w:p>
        </w:tc>
        <w:tc>
          <w:tcPr>
            <w:tcW w:type="dxa" w:w="1520"/>
          </w:tcPr>
          <w:p>
            <w:pPr>
              <w:jc w:val="center"/>
            </w:pPr>
            <w:r>
              <w:t>9.783</w:t>
            </w:r>
          </w:p>
        </w:tc>
        <w:tc>
          <w:tcPr>
            <w:tcW w:type="dxa" w:w="1520"/>
          </w:tcPr>
          <w:p>
            <w:pPr>
              <w:jc w:val="center"/>
            </w:pPr>
            <w:r>
              <w:t>19 temp+bio</w:t>
            </w:r>
          </w:p>
        </w:tc>
        <w:tc>
          <w:tcPr>
            <w:tcW w:type="dxa" w:w="1520"/>
          </w:tcPr>
          <w:p>
            <w:pPr>
              <w:jc w:val="center"/>
            </w:pPr>
            <w:r>
              <w:t>~5%</w:t>
            </w:r>
          </w:p>
        </w:tc>
        <w:tc>
          <w:tcPr>
            <w:tcW w:type="dxa" w:w="1520"/>
          </w:tcPr>
          <w:p>
            <w:pPr>
              <w:jc w:val="center"/>
            </w:pPr>
            <w:r>
              <w:t>Modelo principal vigilancia</w:t>
            </w:r>
          </w:p>
        </w:tc>
      </w:tr>
      <w:tr>
        <w:tc>
          <w:tcPr>
            <w:tcW w:type="dxa" w:w="1520"/>
          </w:tcPr>
          <w:p>
            <w:pPr>
              <w:jc w:val="center"/>
            </w:pPr>
            <w:r>
              <w:t>M2-SPNSP30</w:t>
            </w:r>
          </w:p>
        </w:tc>
        <w:tc>
          <w:tcPr>
            <w:tcW w:type="dxa" w:w="1520"/>
          </w:tcPr>
          <w:p>
            <w:pPr>
              <w:jc w:val="center"/>
            </w:pPr>
            <w:r>
              <w:t>Familia Pango</w:t>
            </w:r>
          </w:p>
        </w:tc>
        <w:tc>
          <w:tcPr>
            <w:tcW w:type="dxa" w:w="1520"/>
          </w:tcPr>
          <w:p>
            <w:pPr>
              <w:jc w:val="center"/>
            </w:pPr>
            <w:r>
              <w:t>9.783</w:t>
            </w:r>
          </w:p>
        </w:tc>
        <w:tc>
          <w:tcPr>
            <w:tcW w:type="dxa" w:w="1520"/>
          </w:tcPr>
          <w:p>
            <w:pPr>
              <w:jc w:val="center"/>
            </w:pPr>
            <w:r>
              <w:t>19+30=49</w:t>
            </w:r>
          </w:p>
        </w:tc>
        <w:tc>
          <w:tcPr>
            <w:tcW w:type="dxa" w:w="1520"/>
          </w:tcPr>
          <w:p>
            <w:pPr>
              <w:jc w:val="center"/>
            </w:pPr>
            <w:r>
              <w:t>~5%</w:t>
            </w:r>
          </w:p>
        </w:tc>
        <w:tc>
          <w:tcPr>
            <w:tcW w:type="dxa" w:w="1520"/>
          </w:tcPr>
          <w:p>
            <w:pPr>
              <w:jc w:val="center"/>
            </w:pPr>
            <w:r>
              <w:t>Modelo con señal mutacional</w:t>
            </w:r>
          </w:p>
        </w:tc>
      </w:tr>
      <w:tr>
        <w:tc>
          <w:tcPr>
            <w:tcW w:type="dxa" w:w="1520"/>
          </w:tcPr>
          <w:p>
            <w:pPr>
              <w:jc w:val="center"/>
            </w:pPr>
            <w:r>
              <w:t>M3-SPNSP</w:t>
            </w:r>
          </w:p>
        </w:tc>
        <w:tc>
          <w:tcPr>
            <w:tcW w:type="dxa" w:w="1520"/>
          </w:tcPr>
          <w:p>
            <w:pPr>
              <w:jc w:val="center"/>
            </w:pPr>
            <w:r>
              <w:t>Mutación Spike+NSP12</w:t>
            </w:r>
          </w:p>
        </w:tc>
        <w:tc>
          <w:tcPr>
            <w:tcW w:type="dxa" w:w="1520"/>
          </w:tcPr>
          <w:p>
            <w:pPr>
              <w:jc w:val="center"/>
            </w:pPr>
            <w:r>
              <w:t>~180.000</w:t>
            </w:r>
          </w:p>
        </w:tc>
        <w:tc>
          <w:tcPr>
            <w:tcW w:type="dxa" w:w="1520"/>
          </w:tcPr>
          <w:p>
            <w:pPr>
              <w:jc w:val="center"/>
            </w:pPr>
            <w:r>
              <w:t>12</w:t>
            </w:r>
          </w:p>
        </w:tc>
        <w:tc>
          <w:tcPr>
            <w:tcW w:type="dxa" w:w="1520"/>
          </w:tcPr>
          <w:p>
            <w:pPr>
              <w:jc w:val="center"/>
            </w:pPr>
            <w:r>
              <w:t>~4%</w:t>
            </w:r>
          </w:p>
        </w:tc>
        <w:tc>
          <w:tcPr>
            <w:tcW w:type="dxa" w:w="1520"/>
          </w:tcPr>
          <w:p>
            <w:pPr>
              <w:jc w:val="center"/>
            </w:pPr>
            <w:r>
              <w:t>Vigilancia mutacional (mejor AUC)</w:t>
            </w:r>
          </w:p>
        </w:tc>
      </w:tr>
      <w:tr>
        <w:tc>
          <w:tcPr>
            <w:tcW w:type="dxa" w:w="1520"/>
          </w:tcPr>
          <w:p>
            <w:pPr>
              <w:jc w:val="center"/>
            </w:pPr>
            <w:r>
              <w:t>M3-ALL</w:t>
            </w:r>
          </w:p>
        </w:tc>
        <w:tc>
          <w:tcPr>
            <w:tcW w:type="dxa" w:w="1520"/>
          </w:tcPr>
          <w:p>
            <w:pPr>
              <w:jc w:val="center"/>
            </w:pPr>
            <w:r>
              <w:t>Todas mutaciones</w:t>
            </w:r>
          </w:p>
        </w:tc>
        <w:tc>
          <w:tcPr>
            <w:tcW w:type="dxa" w:w="1520"/>
          </w:tcPr>
          <w:p>
            <w:pPr>
              <w:jc w:val="center"/>
            </w:pPr>
            <w:r>
              <w:t>~480.000</w:t>
            </w:r>
          </w:p>
        </w:tc>
        <w:tc>
          <w:tcPr>
            <w:tcW w:type="dxa" w:w="1520"/>
          </w:tcPr>
          <w:p>
            <w:pPr>
              <w:jc w:val="center"/>
            </w:pPr>
            <w:r>
              <w:t>13</w:t>
            </w:r>
          </w:p>
        </w:tc>
        <w:tc>
          <w:tcPr>
            <w:tcW w:type="dxa" w:w="1520"/>
          </w:tcPr>
          <w:p>
            <w:pPr>
              <w:jc w:val="center"/>
            </w:pPr>
            <w:r>
              <w:t>~2%</w:t>
            </w:r>
          </w:p>
        </w:tc>
        <w:tc>
          <w:tcPr>
            <w:tcW w:type="dxa" w:w="1520"/>
          </w:tcPr>
          <w:p>
            <w:pPr>
              <w:jc w:val="center"/>
            </w:pPr>
            <w:r>
              <w:t>Genoma completo, señal diluida</w:t>
            </w:r>
          </w:p>
        </w:tc>
      </w:tr>
    </w:tbl>
    <w:p/>
    <w:p>
      <w:r>
        <w:t>El dataset M2 contiene 435 familias Pango distintas observadas entre 2020 y 2026, con 9.783 observaciones (familia, semana) donde la familia tenía al menos 5 secuencias en esa semana. El split temporal fijo divide este dataset en 6.892 observaciones de entrenamiento (semanas &lt; 2023-06-01) y 2.891 observaciones de test (semanas ≥ 2023-06-01). La proporción de positivos es del 4.8% en train y del 5.2% en test, confirmando que el desbalanceo es estable en el tiempo (no hay sesgo temporal en la distribución de la variable objetivo).</w:t>
      </w:r>
    </w:p>
    <w:p>
      <w:r>
        <w:t>El dataset M3-SPNSP considera 2.269 posiciones mutacionales únicas en Spike y NSP12 con variación detectable en al menos dos familias distintas. Cada observación es (mutación, semana), con una fila por cada semana en que la mutación fue observada con frecuencia suficiente (≥0.1% dentro de su familia). El umbral de dominancia para mutaciones es el 30% de frecuencia global (más restrictivo que el 10% de familias) para centrarse en mutaciones de genuino impacto pandémico.</w:t>
      </w:r>
    </w:p>
    <w:p>
      <w:r>
        <w:br w:type="page"/>
      </w:r>
    </w:p>
    <w:p>
      <w:pPr>
        <w:pStyle w:val="Heading1"/>
      </w:pPr>
      <w:r>
        <w:rPr>
          <w:color w:val="1F497D"/>
        </w:rPr>
        <w:t>5. Ingeniería de características</w:t>
      </w:r>
    </w:p>
    <w:p>
      <w:r>
        <w:t>La ingeniería de características es el proceso de transformar los datos brutos —frecuencias semanales de variantes y listas de mutaciones— en representaciones numéricas que capturen la información relevante para la predicción. En este trabajo se definen tres grupos de features que responden a preguntas biológicas distintas:</w:t>
      </w:r>
    </w:p>
    <w:p>
      <w:pPr>
        <w:pStyle w:val="Heading2"/>
      </w:pPr>
      <w:r>
        <w:rPr>
          <w:color w:val="2E74B5"/>
        </w:rPr>
        <w:t>5.1. Features temporales (13 variables)</w:t>
      </w:r>
    </w:p>
    <w:p>
      <w:r>
        <w:t>Las features temporales capturan la dinámica de crecimiento de cada familia en las semanas previas al momento de predicción. Son análogas a los indicadores técnicos usados en finanzas cuantitativas para caracterizar tendencias de precio, adaptados al contexto viral. Las 13 features son:</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Feature</w:t>
            </w:r>
          </w:p>
        </w:tc>
        <w:tc>
          <w:tcPr>
            <w:tcW w:type="dxa" w:w="3041"/>
          </w:tcPr>
          <w:p>
            <w:pPr>
              <w:jc w:val="center"/>
            </w:pPr>
            <w:r>
              <w:rPr>
                <w:b/>
              </w:rPr>
              <w:t>Descripción</w:t>
            </w:r>
          </w:p>
        </w:tc>
        <w:tc>
          <w:tcPr>
            <w:tcW w:type="dxa" w:w="3041"/>
          </w:tcPr>
          <w:p>
            <w:pPr>
              <w:jc w:val="center"/>
            </w:pPr>
            <w:r>
              <w:rPr>
                <w:b/>
              </w:rPr>
              <w:t>Por qué importa</w:t>
            </w:r>
          </w:p>
        </w:tc>
      </w:tr>
      <w:tr>
        <w:tc>
          <w:tcPr>
            <w:tcW w:type="dxa" w:w="3041"/>
          </w:tcPr>
          <w:p>
            <w:pPr>
              <w:jc w:val="center"/>
            </w:pPr>
            <w:r>
              <w:t>freq_t0</w:t>
            </w:r>
          </w:p>
        </w:tc>
        <w:tc>
          <w:tcPr>
            <w:tcW w:type="dxa" w:w="3041"/>
          </w:tcPr>
          <w:p>
            <w:pPr>
              <w:jc w:val="center"/>
            </w:pPr>
            <w:r>
              <w:t>Frecuencia actual de la familia</w:t>
            </w:r>
          </w:p>
        </w:tc>
        <w:tc>
          <w:tcPr>
            <w:tcW w:type="dxa" w:w="3041"/>
          </w:tcPr>
          <w:p>
            <w:pPr>
              <w:jc w:val="center"/>
            </w:pPr>
            <w:r>
              <w:t>Estado actual; alta correlación con dominancia futura</w:t>
            </w:r>
          </w:p>
        </w:tc>
      </w:tr>
      <w:tr>
        <w:tc>
          <w:tcPr>
            <w:tcW w:type="dxa" w:w="3041"/>
          </w:tcPr>
          <w:p>
            <w:pPr>
              <w:jc w:val="center"/>
            </w:pPr>
            <w:r>
              <w:t>log_growth_4w</w:t>
            </w:r>
          </w:p>
        </w:tc>
        <w:tc>
          <w:tcPr>
            <w:tcW w:type="dxa" w:w="3041"/>
          </w:tcPr>
          <w:p>
            <w:pPr>
              <w:jc w:val="center"/>
            </w:pPr>
            <w:r>
              <w:t>Tasa de crecimiento log en 4 semanas</w:t>
            </w:r>
          </w:p>
        </w:tc>
        <w:tc>
          <w:tcPr>
            <w:tcW w:type="dxa" w:w="3041"/>
          </w:tcPr>
          <w:p>
            <w:pPr>
              <w:jc w:val="center"/>
            </w:pPr>
            <w:r>
              <w:t>Aceleración reciente</w:t>
            </w:r>
          </w:p>
        </w:tc>
      </w:tr>
      <w:tr>
        <w:tc>
          <w:tcPr>
            <w:tcW w:type="dxa" w:w="3041"/>
          </w:tcPr>
          <w:p>
            <w:pPr>
              <w:jc w:val="center"/>
            </w:pPr>
            <w:r>
              <w:t>log_growth_8w</w:t>
            </w:r>
          </w:p>
        </w:tc>
        <w:tc>
          <w:tcPr>
            <w:tcW w:type="dxa" w:w="3041"/>
          </w:tcPr>
          <w:p>
            <w:pPr>
              <w:jc w:val="center"/>
            </w:pPr>
            <w:r>
              <w:t>Tasa de crecimiento log en 8 semanas</w:t>
            </w:r>
          </w:p>
        </w:tc>
        <w:tc>
          <w:tcPr>
            <w:tcW w:type="dxa" w:w="3041"/>
          </w:tcPr>
          <w:p>
            <w:pPr>
              <w:jc w:val="center"/>
            </w:pPr>
            <w:r>
              <w:t>Tendencia media-plazo (más estable)</w:t>
            </w:r>
          </w:p>
        </w:tc>
      </w:tr>
      <w:tr>
        <w:tc>
          <w:tcPr>
            <w:tcW w:type="dxa" w:w="3041"/>
          </w:tcPr>
          <w:p>
            <w:pPr>
              <w:jc w:val="center"/>
            </w:pPr>
            <w:r>
              <w:t>slope_4w</w:t>
            </w:r>
          </w:p>
        </w:tc>
        <w:tc>
          <w:tcPr>
            <w:tcW w:type="dxa" w:w="3041"/>
          </w:tcPr>
          <w:p>
            <w:pPr>
              <w:jc w:val="center"/>
            </w:pPr>
            <w:r>
              <w:t>Pendiente lineal de freq en 4 semanas</w:t>
            </w:r>
          </w:p>
        </w:tc>
        <w:tc>
          <w:tcPr>
            <w:tcW w:type="dxa" w:w="3041"/>
          </w:tcPr>
          <w:p>
            <w:pPr>
              <w:jc w:val="center"/>
            </w:pPr>
            <w:r>
              <w:t>Dirección de la tendencia reciente</w:t>
            </w:r>
          </w:p>
        </w:tc>
      </w:tr>
      <w:tr>
        <w:tc>
          <w:tcPr>
            <w:tcW w:type="dxa" w:w="3041"/>
          </w:tcPr>
          <w:p>
            <w:pPr>
              <w:jc w:val="center"/>
            </w:pPr>
            <w:r>
              <w:t>slope_8w</w:t>
            </w:r>
          </w:p>
        </w:tc>
        <w:tc>
          <w:tcPr>
            <w:tcW w:type="dxa" w:w="3041"/>
          </w:tcPr>
          <w:p>
            <w:pPr>
              <w:jc w:val="center"/>
            </w:pPr>
            <w:r>
              <w:t>Pendiente lineal de freq en 8 semanas</w:t>
            </w:r>
          </w:p>
        </w:tc>
        <w:tc>
          <w:tcPr>
            <w:tcW w:type="dxa" w:w="3041"/>
          </w:tcPr>
          <w:p>
            <w:pPr>
              <w:jc w:val="center"/>
            </w:pPr>
            <w:r>
              <w:t>Tendencia media-plazo suavizada</w:t>
            </w:r>
          </w:p>
        </w:tc>
      </w:tr>
      <w:tr>
        <w:tc>
          <w:tcPr>
            <w:tcW w:type="dxa" w:w="3041"/>
          </w:tcPr>
          <w:p>
            <w:pPr>
              <w:jc w:val="center"/>
            </w:pPr>
            <w:r>
              <w:t>freq_mean_8w</w:t>
            </w:r>
          </w:p>
        </w:tc>
        <w:tc>
          <w:tcPr>
            <w:tcW w:type="dxa" w:w="3041"/>
          </w:tcPr>
          <w:p>
            <w:pPr>
              <w:jc w:val="center"/>
            </w:pPr>
            <w:r>
              <w:t>Media de freq en las últimas 8 semanas</w:t>
            </w:r>
          </w:p>
        </w:tc>
        <w:tc>
          <w:tcPr>
            <w:tcW w:type="dxa" w:w="3041"/>
          </w:tcPr>
          <w:p>
            <w:pPr>
              <w:jc w:val="center"/>
            </w:pPr>
            <w:r>
              <w:t>Nivel medio reciente</w:t>
            </w:r>
          </w:p>
        </w:tc>
      </w:tr>
      <w:tr>
        <w:tc>
          <w:tcPr>
            <w:tcW w:type="dxa" w:w="3041"/>
          </w:tcPr>
          <w:p>
            <w:pPr>
              <w:jc w:val="center"/>
            </w:pPr>
            <w:r>
              <w:t>freq_std_8w</w:t>
            </w:r>
          </w:p>
        </w:tc>
        <w:tc>
          <w:tcPr>
            <w:tcW w:type="dxa" w:w="3041"/>
          </w:tcPr>
          <w:p>
            <w:pPr>
              <w:jc w:val="center"/>
            </w:pPr>
            <w:r>
              <w:t>Desv. típica de freq en 8 semanas</w:t>
            </w:r>
          </w:p>
        </w:tc>
        <w:tc>
          <w:tcPr>
            <w:tcW w:type="dxa" w:w="3041"/>
          </w:tcPr>
          <w:p>
            <w:pPr>
              <w:jc w:val="center"/>
            </w:pPr>
            <w:r>
              <w:t>Volatilidad; variación intensa = dinámica activa</w:t>
            </w:r>
          </w:p>
        </w:tc>
      </w:tr>
      <w:tr>
        <w:tc>
          <w:tcPr>
            <w:tcW w:type="dxa" w:w="3041"/>
          </w:tcPr>
          <w:p>
            <w:pPr>
              <w:jc w:val="center"/>
            </w:pPr>
            <w:r>
              <w:t>peak_hist</w:t>
            </w:r>
          </w:p>
        </w:tc>
        <w:tc>
          <w:tcPr>
            <w:tcW w:type="dxa" w:w="3041"/>
          </w:tcPr>
          <w:p>
            <w:pPr>
              <w:jc w:val="center"/>
            </w:pPr>
            <w:r>
              <w:t>Máximo histórico de frecuencia del clado</w:t>
            </w:r>
          </w:p>
        </w:tc>
        <w:tc>
          <w:tcPr>
            <w:tcW w:type="dxa" w:w="3041"/>
          </w:tcPr>
          <w:p>
            <w:pPr>
              <w:jc w:val="center"/>
            </w:pPr>
            <w:r>
              <w:t>Memoria histórica del clado (M1)</w:t>
            </w:r>
          </w:p>
        </w:tc>
      </w:tr>
      <w:tr>
        <w:tc>
          <w:tcPr>
            <w:tcW w:type="dxa" w:w="3041"/>
          </w:tcPr>
          <w:p>
            <w:pPr>
              <w:jc w:val="center"/>
            </w:pPr>
            <w:r>
              <w:t>n_active_8w</w:t>
            </w:r>
          </w:p>
        </w:tc>
        <w:tc>
          <w:tcPr>
            <w:tcW w:type="dxa" w:w="3041"/>
          </w:tcPr>
          <w:p>
            <w:pPr>
              <w:jc w:val="center"/>
            </w:pPr>
            <w:r>
              <w:t>Semanas activas en las últimas 8</w:t>
            </w:r>
          </w:p>
        </w:tc>
        <w:tc>
          <w:tcPr>
            <w:tcW w:type="dxa" w:w="3041"/>
          </w:tcPr>
          <w:p>
            <w:pPr>
              <w:jc w:val="center"/>
            </w:pPr>
            <w:r>
              <w:t>Persistencia vs. flash</w:t>
            </w:r>
          </w:p>
        </w:tc>
      </w:tr>
      <w:tr>
        <w:tc>
          <w:tcPr>
            <w:tcW w:type="dxa" w:w="3041"/>
          </w:tcPr>
          <w:p>
            <w:pPr>
              <w:jc w:val="center"/>
            </w:pPr>
            <w:r>
              <w:t>age_weeks</w:t>
            </w:r>
          </w:p>
        </w:tc>
        <w:tc>
          <w:tcPr>
            <w:tcW w:type="dxa" w:w="3041"/>
          </w:tcPr>
          <w:p>
            <w:pPr>
              <w:jc w:val="center"/>
            </w:pPr>
            <w:r>
              <w:t>Semanas desde la primera detección</w:t>
            </w:r>
          </w:p>
        </w:tc>
        <w:tc>
          <w:tcPr>
            <w:tcW w:type="dxa" w:w="3041"/>
          </w:tcPr>
          <w:p>
            <w:pPr>
              <w:jc w:val="center"/>
            </w:pPr>
            <w:r>
              <w:t>Madurez de la variante</w:t>
            </w:r>
          </w:p>
        </w:tc>
      </w:tr>
      <w:tr>
        <w:tc>
          <w:tcPr>
            <w:tcW w:type="dxa" w:w="3041"/>
          </w:tcPr>
          <w:p>
            <w:pPr>
              <w:jc w:val="center"/>
            </w:pPr>
            <w:r>
              <w:t>n_countries</w:t>
            </w:r>
          </w:p>
        </w:tc>
        <w:tc>
          <w:tcPr>
            <w:tcW w:type="dxa" w:w="3041"/>
          </w:tcPr>
          <w:p>
            <w:pPr>
              <w:jc w:val="center"/>
            </w:pPr>
            <w:r>
              <w:t>Países con detección en las últimas 4 sem.</w:t>
            </w:r>
          </w:p>
        </w:tc>
        <w:tc>
          <w:tcPr>
            <w:tcW w:type="dxa" w:w="3041"/>
          </w:tcPr>
          <w:p>
            <w:pPr>
              <w:jc w:val="center"/>
            </w:pPr>
            <w:r>
              <w:t>Expansión geográfica</w:t>
            </w:r>
          </w:p>
        </w:tc>
      </w:tr>
      <w:tr>
        <w:tc>
          <w:tcPr>
            <w:tcW w:type="dxa" w:w="3041"/>
          </w:tcPr>
          <w:p>
            <w:pPr>
              <w:jc w:val="center"/>
            </w:pPr>
            <w:r>
              <w:t>freq_t_minus4</w:t>
            </w:r>
          </w:p>
        </w:tc>
        <w:tc>
          <w:tcPr>
            <w:tcW w:type="dxa" w:w="3041"/>
          </w:tcPr>
          <w:p>
            <w:pPr>
              <w:jc w:val="center"/>
            </w:pPr>
            <w:r>
              <w:t>Frecuencia hace 4 semanas</w:t>
            </w:r>
          </w:p>
        </w:tc>
        <w:tc>
          <w:tcPr>
            <w:tcW w:type="dxa" w:w="3041"/>
          </w:tcPr>
          <w:p>
            <w:pPr>
              <w:jc w:val="center"/>
            </w:pPr>
            <w:r>
              <w:t>Referencia para calcular cambio</w:t>
            </w:r>
          </w:p>
        </w:tc>
      </w:tr>
      <w:tr>
        <w:tc>
          <w:tcPr>
            <w:tcW w:type="dxa" w:w="3041"/>
          </w:tcPr>
          <w:p>
            <w:pPr>
              <w:jc w:val="center"/>
            </w:pPr>
            <w:r>
              <w:t>log_growth_early</w:t>
            </w:r>
          </w:p>
        </w:tc>
        <w:tc>
          <w:tcPr>
            <w:tcW w:type="dxa" w:w="3041"/>
          </w:tcPr>
          <w:p>
            <w:pPr>
              <w:jc w:val="center"/>
            </w:pPr>
            <w:r>
              <w:t>Tasa de crecimiento en primeras 4 sem. desde detección</w:t>
            </w:r>
          </w:p>
        </w:tc>
        <w:tc>
          <w:tcPr>
            <w:tcW w:type="dxa" w:w="3041"/>
          </w:tcPr>
          <w:p>
            <w:pPr>
              <w:jc w:val="center"/>
            </w:pPr>
            <w:r>
              <w:t>Velocidad inicial</w:t>
            </w:r>
          </w:p>
        </w:tc>
      </w:tr>
    </w:tbl>
    <w:p/>
    <w:p>
      <w:r>
        <w:t>La feature age_weeks merece discusión especial porque el análisis SHAP reveló que su importancia cambió significativamente entre la versión con y sin corrección de leakage. En la versión con leakage, age_weeks era el predictor dominante en M2 (|SHAP|=0.78), porque las variantes más antiguas tendían a haber dominado eventualmente. Con la censura correcta, age_weeks baja a |SHAP|=0.36 y queda empatado con mean_spike_muts (0.36) y n_escape_muts (0.31): la antigüedad sigue siendo relevante, pero las features moleculares recuperan el peso que les corresponde.</w:t>
      </w:r>
    </w:p>
    <w:p>
      <w:pPr>
        <w:pStyle w:val="Heading2"/>
      </w:pPr>
      <w:r>
        <w:rPr>
          <w:color w:val="2E74B5"/>
        </w:rPr>
        <w:t>5.2. Features biológicas (6 variables)</w:t>
      </w:r>
    </w:p>
    <w:p>
      <w:r>
        <w:t>Las features biológicas codifican propiedades intrínsecas del perfil mutacional de cada familia, calculadas sobre las secuencias asignadas. Son independientes del tiempo y capturan el potencial de escape inmune y fitness replicativa de la variante: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Feature</w:t>
            </w:r>
          </w:p>
        </w:tc>
        <w:tc>
          <w:tcPr>
            <w:tcW w:type="dxa" w:w="3041"/>
          </w:tcPr>
          <w:p>
            <w:pPr>
              <w:jc w:val="center"/>
            </w:pPr>
            <w:r>
              <w:rPr>
                <w:b/>
              </w:rPr>
              <w:t>Descripción</w:t>
            </w:r>
          </w:p>
        </w:tc>
        <w:tc>
          <w:tcPr>
            <w:tcW w:type="dxa" w:w="3041"/>
          </w:tcPr>
          <w:p>
            <w:pPr>
              <w:jc w:val="center"/>
            </w:pPr>
            <w:r>
              <w:rPr>
                <w:b/>
              </w:rPr>
              <w:t>Por qué importa</w:t>
            </w:r>
          </w:p>
        </w:tc>
      </w:tr>
      <w:tr>
        <w:tc>
          <w:tcPr>
            <w:tcW w:type="dxa" w:w="3041"/>
          </w:tcPr>
          <w:p>
            <w:pPr>
              <w:jc w:val="center"/>
            </w:pPr>
            <w:r>
              <w:t>mean_spike_muts</w:t>
            </w:r>
          </w:p>
        </w:tc>
        <w:tc>
          <w:tcPr>
            <w:tcW w:type="dxa" w:w="3041"/>
          </w:tcPr>
          <w:p>
            <w:pPr>
              <w:jc w:val="center"/>
            </w:pPr>
            <w:r>
              <w:t>Número medio de mutaciones Spike vs. ref.</w:t>
            </w:r>
          </w:p>
        </w:tc>
        <w:tc>
          <w:tcPr>
            <w:tcW w:type="dxa" w:w="3041"/>
          </w:tcPr>
          <w:p>
            <w:pPr>
              <w:jc w:val="center"/>
            </w:pPr>
            <w:r>
              <w:t>Divergencia acumulada de escape inmune</w:t>
            </w:r>
          </w:p>
        </w:tc>
      </w:tr>
      <w:tr>
        <w:tc>
          <w:tcPr>
            <w:tcW w:type="dxa" w:w="3041"/>
          </w:tcPr>
          <w:p>
            <w:pPr>
              <w:jc w:val="center"/>
            </w:pPr>
            <w:r>
              <w:t>n_escape_muts</w:t>
            </w:r>
          </w:p>
        </w:tc>
        <w:tc>
          <w:tcPr>
            <w:tcW w:type="dxa" w:w="3041"/>
          </w:tcPr>
          <w:p>
            <w:pPr>
              <w:jc w:val="center"/>
            </w:pPr>
            <w:r>
              <w:t>Número de mutaciones en epítopos conocidos de anticuerpos</w:t>
            </w:r>
          </w:p>
        </w:tc>
        <w:tc>
          <w:tcPr>
            <w:tcW w:type="dxa" w:w="3041"/>
          </w:tcPr>
          <w:p>
            <w:pPr>
              <w:jc w:val="center"/>
            </w:pPr>
            <w:r>
              <w:t>Presión selectiva de inmunidad poblacional</w:t>
            </w:r>
          </w:p>
        </w:tc>
      </w:tr>
      <w:tr>
        <w:tc>
          <w:tcPr>
            <w:tcW w:type="dxa" w:w="3041"/>
          </w:tcPr>
          <w:p>
            <w:pPr>
              <w:jc w:val="center"/>
            </w:pPr>
            <w:r>
              <w:t>n_rbd_muts</w:t>
            </w:r>
          </w:p>
        </w:tc>
        <w:tc>
          <w:tcPr>
            <w:tcW w:type="dxa" w:w="3041"/>
          </w:tcPr>
          <w:p>
            <w:pPr>
              <w:jc w:val="center"/>
            </w:pPr>
            <w:r>
              <w:t>Mutaciones en el dominio RBD (pos. 319-541)</w:t>
            </w:r>
          </w:p>
        </w:tc>
        <w:tc>
          <w:tcPr>
            <w:tcW w:type="dxa" w:w="3041"/>
          </w:tcPr>
          <w:p>
            <w:pPr>
              <w:jc w:val="center"/>
            </w:pPr>
            <w:r>
              <w:t>Posiciones bajo mayor presión selectiva</w:t>
            </w:r>
          </w:p>
        </w:tc>
      </w:tr>
      <w:tr>
        <w:tc>
          <w:tcPr>
            <w:tcW w:type="dxa" w:w="3041"/>
          </w:tcPr>
          <w:p>
            <w:pPr>
              <w:jc w:val="center"/>
            </w:pPr>
            <w:r>
              <w:t>n_furin_muts</w:t>
            </w:r>
          </w:p>
        </w:tc>
        <w:tc>
          <w:tcPr>
            <w:tcW w:type="dxa" w:w="3041"/>
          </w:tcPr>
          <w:p>
            <w:pPr>
              <w:jc w:val="center"/>
            </w:pPr>
            <w:r>
              <w:t>Mutaciones en sitio de corte furina (pos. 675-686)</w:t>
            </w:r>
          </w:p>
        </w:tc>
        <w:tc>
          <w:tcPr>
            <w:tcW w:type="dxa" w:w="3041"/>
          </w:tcPr>
          <w:p>
            <w:pPr>
              <w:jc w:val="center"/>
            </w:pPr>
            <w:r>
              <w:t>Fitness de replicación/fusión</w:t>
            </w:r>
          </w:p>
        </w:tc>
      </w:tr>
      <w:tr>
        <w:tc>
          <w:tcPr>
            <w:tcW w:type="dxa" w:w="3041"/>
          </w:tcPr>
          <w:p>
            <w:pPr>
              <w:jc w:val="center"/>
            </w:pPr>
            <w:r>
              <w:t>mut_diversity</w:t>
            </w:r>
          </w:p>
        </w:tc>
        <w:tc>
          <w:tcPr>
            <w:tcW w:type="dxa" w:w="3041"/>
          </w:tcPr>
          <w:p>
            <w:pPr>
              <w:jc w:val="center"/>
            </w:pPr>
            <w:r>
              <w:t>Diversidad mutacional within-family (entropía)</w:t>
            </w:r>
          </w:p>
        </w:tc>
        <w:tc>
          <w:tcPr>
            <w:tcW w:type="dxa" w:w="3041"/>
          </w:tcPr>
          <w:p>
            <w:pPr>
              <w:jc w:val="center"/>
            </w:pPr>
            <w:r>
              <w:t>Adaptabilidad; diversidad interna alta puede indicar evolución activa</w:t>
            </w:r>
          </w:p>
        </w:tc>
      </w:tr>
      <w:tr>
        <w:tc>
          <w:tcPr>
            <w:tcW w:type="dxa" w:w="3041"/>
          </w:tcPr>
          <w:p>
            <w:pPr>
              <w:jc w:val="center"/>
            </w:pPr>
            <w:r>
              <w:t>n_nsp12_muts</w:t>
            </w:r>
          </w:p>
        </w:tc>
        <w:tc>
          <w:tcPr>
            <w:tcW w:type="dxa" w:w="3041"/>
          </w:tcPr>
          <w:p>
            <w:pPr>
              <w:jc w:val="center"/>
            </w:pPr>
            <w:r>
              <w:t>Mutaciones en NSP12 vs. ref.</w:t>
            </w:r>
          </w:p>
        </w:tc>
        <w:tc>
          <w:tcPr>
            <w:tcW w:type="dxa" w:w="3041"/>
          </w:tcPr>
          <w:p>
            <w:pPr>
              <w:jc w:val="center"/>
            </w:pPr>
            <w:r>
              <w:t>Señal de cambio en replicación</w:t>
            </w:r>
          </w:p>
        </w:tc>
      </w:tr>
    </w:tbl>
    <w:p/>
    <w:p>
      <w:pPr>
        <w:pStyle w:val="Heading2"/>
      </w:pPr>
      <w:r>
        <w:rPr>
          <w:color w:val="2E74B5"/>
        </w:rPr>
        <w:t>5.3. Features mutacionales Spike+NSP12 (30 variables)</w:t>
      </w:r>
    </w:p>
    <w:p>
      <w:r>
        <w:t>Para los modelos M2-SPNSP30 y M3-SPNSP, se añaden las frecuencias within-family de las 30 mutaciones de Spike y NSP12 más informativas, seleccionadas por su coeficiente de variación entre familias. La reducción de dimensionalidad de 2.269 mutaciones únicas observadas a 30 features se realiza como sigue: (1) se calculan las frecuencias de cada mutación dentro de cada familia en cada semana, (2) se elimina el fondo Omicron compartido (mutaciones con frecuencia &gt;0.90 global), (3) se seleccionan las 30 mutaciones con mayor coeficiente de variación entre familias activas en las últimas 12 semanas. El resultado es un vector de features que describe qué mutaciones diferenciales de Spike y NSP12 prevalecen en cada familia.</w:t>
      </w:r>
    </w:p>
    <w:p>
      <w:r>
        <w:t>Un hallazgo relevante es que añadir estas 30 features mutacionales al modelo M2 empeora el AUC en test (M2: 0.849 → M2-SPNSP30: 0.821) y en walk-forward (M2: 0.827 → M2-SPNSP30: 0.788). Este resultado, aparentemente contraintuitivo, tiene una explicación metodológica: las features mutacionales son muy específicas del contexto de una época pandémica concreta y generalizan mal a épocas futuras con perfiles mutacionales distintos. El caso extremo es el fold XBB, donde M2-SPNSP30 colapsa a AUC=0.645 porque las mutaciones informativas durante BA.4/5 no son las mismas que durante XBB. En contraste, las features temporales de M2 son universales: el crecimiento log-lineal funciona igual en Alpha que en XFG. Esta observación lleva a elegir M2 (sin mutaciones) como modelo principal para el ranking de vigilancia de familias, y M3-SPNSP como complemento para el ranking de mutaciones.</w:t>
      </w:r>
    </w:p>
    <w:p>
      <w:pPr>
        <w:pStyle w:val="Heading2"/>
      </w:pPr>
      <w:r>
        <w:rPr>
          <w:color w:val="2E74B5"/>
        </w:rPr>
        <w:t>5.4. Features para el modelo de mutaciones M3-SPNSP</w:t>
      </w:r>
    </w:p>
    <w:p>
      <w:r>
        <w:t>El modelo de mutaciones opera sobre un espacio de observaciones distinto: cada fila es (mutación, semana), y las features capturan la dinámica de esa mutación específica y su contexto genómico-filogenético: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Feature</w:t>
            </w:r>
          </w:p>
        </w:tc>
        <w:tc>
          <w:tcPr>
            <w:tcW w:type="dxa" w:w="4561"/>
          </w:tcPr>
          <w:p>
            <w:pPr>
              <w:jc w:val="center"/>
            </w:pPr>
            <w:r>
              <w:rPr>
                <w:b/>
              </w:rPr>
              <w:t>Descripción</w:t>
            </w:r>
          </w:p>
        </w:tc>
      </w:tr>
      <w:tr>
        <w:tc>
          <w:tcPr>
            <w:tcW w:type="dxa" w:w="4561"/>
          </w:tcPr>
          <w:p>
            <w:pPr>
              <w:jc w:val="center"/>
            </w:pPr>
            <w:r>
              <w:t>position</w:t>
            </w:r>
          </w:p>
        </w:tc>
        <w:tc>
          <w:tcPr>
            <w:tcW w:type="dxa" w:w="4561"/>
          </w:tcPr>
          <w:p>
            <w:pPr>
              <w:jc w:val="center"/>
            </w:pPr>
            <w:r>
              <w:t>Posición aminoacídica en la proteína (1-1273 para Spike)</w:t>
            </w:r>
          </w:p>
        </w:tc>
      </w:tr>
      <w:tr>
        <w:tc>
          <w:tcPr>
            <w:tcW w:type="dxa" w:w="4561"/>
          </w:tcPr>
          <w:p>
            <w:pPr>
              <w:jc w:val="center"/>
            </w:pPr>
            <w:r>
              <w:t>n_families</w:t>
            </w:r>
          </w:p>
        </w:tc>
        <w:tc>
          <w:tcPr>
            <w:tcW w:type="dxa" w:w="4561"/>
          </w:tcPr>
          <w:p>
            <w:pPr>
              <w:jc w:val="center"/>
            </w:pPr>
            <w:r>
              <w:t>Número de familias Pango que portan esta mutación (convergencia evolutiva)</w:t>
            </w:r>
          </w:p>
        </w:tc>
      </w:tr>
      <w:tr>
        <w:tc>
          <w:tcPr>
            <w:tcW w:type="dxa" w:w="4561"/>
          </w:tcPr>
          <w:p>
            <w:pPr>
              <w:jc w:val="center"/>
            </w:pPr>
            <w:r>
              <w:t>freq_t0</w:t>
            </w:r>
          </w:p>
        </w:tc>
        <w:tc>
          <w:tcPr>
            <w:tcW w:type="dxa" w:w="4561"/>
          </w:tcPr>
          <w:p>
            <w:pPr>
              <w:jc w:val="center"/>
            </w:pPr>
            <w:r>
              <w:t>Frecuencia global actual de la mutación</w:t>
            </w:r>
          </w:p>
        </w:tc>
      </w:tr>
      <w:tr>
        <w:tc>
          <w:tcPr>
            <w:tcW w:type="dxa" w:w="4561"/>
          </w:tcPr>
          <w:p>
            <w:pPr>
              <w:jc w:val="center"/>
            </w:pPr>
            <w:r>
              <w:t>freq_std_8w</w:t>
            </w:r>
          </w:p>
        </w:tc>
        <w:tc>
          <w:tcPr>
            <w:tcW w:type="dxa" w:w="4561"/>
          </w:tcPr>
          <w:p>
            <w:pPr>
              <w:jc w:val="center"/>
            </w:pPr>
            <w:r>
              <w:t>Volatilidad de la frecuencia en 8 semanas</w:t>
            </w:r>
          </w:p>
        </w:tc>
      </w:tr>
      <w:tr>
        <w:tc>
          <w:tcPr>
            <w:tcW w:type="dxa" w:w="4561"/>
          </w:tcPr>
          <w:p>
            <w:pPr>
              <w:jc w:val="center"/>
            </w:pPr>
            <w:r>
              <w:t>freq_mean_8w</w:t>
            </w:r>
          </w:p>
        </w:tc>
        <w:tc>
          <w:tcPr>
            <w:tcW w:type="dxa" w:w="4561"/>
          </w:tcPr>
          <w:p>
            <w:pPr>
              <w:jc w:val="center"/>
            </w:pPr>
            <w:r>
              <w:t>Frecuencia media en 8 semanas</w:t>
            </w:r>
          </w:p>
        </w:tc>
      </w:tr>
      <w:tr>
        <w:tc>
          <w:tcPr>
            <w:tcW w:type="dxa" w:w="4561"/>
          </w:tcPr>
          <w:p>
            <w:pPr>
              <w:jc w:val="center"/>
            </w:pPr>
            <w:r>
              <w:t>log_growth_4w</w:t>
            </w:r>
          </w:p>
        </w:tc>
        <w:tc>
          <w:tcPr>
            <w:tcW w:type="dxa" w:w="4561"/>
          </w:tcPr>
          <w:p>
            <w:pPr>
              <w:jc w:val="center"/>
            </w:pPr>
            <w:r>
              <w:t>Tasa de crecimiento log-lineal en 4 semanas</w:t>
            </w:r>
          </w:p>
        </w:tc>
      </w:tr>
      <w:tr>
        <w:tc>
          <w:tcPr>
            <w:tcW w:type="dxa" w:w="4561"/>
          </w:tcPr>
          <w:p>
            <w:pPr>
              <w:jc w:val="center"/>
            </w:pPr>
            <w:r>
              <w:t>is_spike</w:t>
            </w:r>
          </w:p>
        </w:tc>
        <w:tc>
          <w:tcPr>
            <w:tcW w:type="dxa" w:w="4561"/>
          </w:tcPr>
          <w:p>
            <w:pPr>
              <w:jc w:val="center"/>
            </w:pPr>
            <w:r>
              <w:t>Indicador binario: ¿la mutación está en Spike? (vs. NSP12)</w:t>
            </w:r>
          </w:p>
        </w:tc>
      </w:tr>
      <w:tr>
        <w:tc>
          <w:tcPr>
            <w:tcW w:type="dxa" w:w="4561"/>
          </w:tcPr>
          <w:p>
            <w:pPr>
              <w:jc w:val="center"/>
            </w:pPr>
            <w:r>
              <w:t>is_rbd</w:t>
            </w:r>
          </w:p>
        </w:tc>
        <w:tc>
          <w:tcPr>
            <w:tcW w:type="dxa" w:w="4561"/>
          </w:tcPr>
          <w:p>
            <w:pPr>
              <w:jc w:val="center"/>
            </w:pPr>
            <w:r>
              <w:t>Indicador binario: ¿la mutación está en el RBD? (pos. 319-541)</w:t>
            </w:r>
          </w:p>
        </w:tc>
      </w:tr>
      <w:tr>
        <w:tc>
          <w:tcPr>
            <w:tcW w:type="dxa" w:w="4561"/>
          </w:tcPr>
          <w:p>
            <w:pPr>
              <w:jc w:val="center"/>
            </w:pPr>
            <w:r>
              <w:t>is_furin</w:t>
            </w:r>
          </w:p>
        </w:tc>
        <w:tc>
          <w:tcPr>
            <w:tcW w:type="dxa" w:w="4561"/>
          </w:tcPr>
          <w:p>
            <w:pPr>
              <w:jc w:val="center"/>
            </w:pPr>
            <w:r>
              <w:t>Indicador binario: ¿la mutación está en el sitio furin? (pos. 675-686)</w:t>
            </w:r>
          </w:p>
        </w:tc>
      </w:tr>
      <w:tr>
        <w:tc>
          <w:tcPr>
            <w:tcW w:type="dxa" w:w="4561"/>
          </w:tcPr>
          <w:p>
            <w:pPr>
              <w:jc w:val="center"/>
            </w:pPr>
            <w:r>
              <w:t>age_weeks</w:t>
            </w:r>
          </w:p>
        </w:tc>
        <w:tc>
          <w:tcPr>
            <w:tcW w:type="dxa" w:w="4561"/>
          </w:tcPr>
          <w:p>
            <w:pPr>
              <w:jc w:val="center"/>
            </w:pPr>
            <w:r>
              <w:t>Semanas desde la primera detección de esta mutación</w:t>
            </w:r>
          </w:p>
        </w:tc>
      </w:tr>
      <w:tr>
        <w:tc>
          <w:tcPr>
            <w:tcW w:type="dxa" w:w="4561"/>
          </w:tcPr>
          <w:p>
            <w:pPr>
              <w:jc w:val="center"/>
            </w:pPr>
            <w:r>
              <w:t>n_countries</w:t>
            </w:r>
          </w:p>
        </w:tc>
        <w:tc>
          <w:tcPr>
            <w:tcW w:type="dxa" w:w="4561"/>
          </w:tcPr>
          <w:p>
            <w:pPr>
              <w:jc w:val="center"/>
            </w:pPr>
            <w:r>
              <w:t>Países donde la mutación fue detectada en las últimas 4 semanas</w:t>
            </w:r>
          </w:p>
        </w:tc>
      </w:tr>
      <w:tr>
        <w:tc>
          <w:tcPr>
            <w:tcW w:type="dxa" w:w="4561"/>
          </w:tcPr>
          <w:p>
            <w:pPr>
              <w:jc w:val="center"/>
            </w:pPr>
            <w:r>
              <w:t>log_growth_early</w:t>
            </w:r>
          </w:p>
        </w:tc>
        <w:tc>
          <w:tcPr>
            <w:tcW w:type="dxa" w:w="4561"/>
          </w:tcPr>
          <w:p>
            <w:pPr>
              <w:jc w:val="center"/>
            </w:pPr>
            <w:r>
              <w:t>Tasa de crecimiento en las primeras semanas tras detección</w:t>
            </w:r>
          </w:p>
        </w:tc>
      </w:tr>
    </w:tbl>
    <w:p/>
    <w:p>
      <w:r>
        <w:t>La feature n_families es la de mayor importancia SHAP en M3-SPNSP (|SHAP|=0.921, casi idéntico a position=0.951). Esto valida cuantitativamente el concepto de evolución convergente como señal de selección positiva: el modelo aprendió autónomamente que una mutación que aparece independientemente en múltiples linajes es mucho más probable de fijarse que una que aparece en un único linaje por deriva genética.</w:t>
      </w:r>
    </w:p>
    <w:p>
      <w:pPr>
        <w:pStyle w:val="Heading2"/>
      </w:pPr>
      <w:r>
        <w:rPr>
          <w:color w:val="2E74B5"/>
        </w:rPr>
        <w:t>5.5. Variable objetivo y desbalanceo de clases</w:t>
      </w:r>
    </w:p>
    <w:p>
      <w:r>
        <w:t>El desbalanceo de clases (4-9% de positivos según el dataset) es un reflejo de la realidad epidemiológica: la mayoría de variantes detectadas en un momento dado son residuales o en declive, no emergentes. Este desbalanceo se aborda con el parámetro scale_pos_weight de LightGBM, que multiplica el peso de los ejemplos positivos por el ratio n_negativos/n_positivos. Esto garantiza que el gradiente de optimización pondere igual los errores en positivos y negativos, evitando que el modelo ignore la clase minoritaria.</w:t>
      </w:r>
    </w:p>
    <w:p>
      <w:r>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rankear correctamente las variantes más amenazantes —no asignar una probabilidad absoluta calibrada—, el AUC es la métrica más directamente relevante.</w:t>
      </w:r>
    </w:p>
    <w:p>
      <w:r>
        <w:br w:type="page"/>
      </w:r>
    </w:p>
    <w:p>
      <w:pPr>
        <w:pStyle w:val="Heading1"/>
      </w:pPr>
      <w:r>
        <w:rPr>
          <w:color w:val="1F497D"/>
        </w:rPr>
        <w:t>6. Resultados</w:t>
      </w:r>
    </w:p>
    <w:p>
      <w:pPr>
        <w:pStyle w:val="Heading2"/>
      </w:pPr>
      <w:r>
        <w:rPr>
          <w:color w:val="2E74B5"/>
        </w:rPr>
        <w:t>6.1. Análisis exploratorio de datos (Módulo 2)</w:t>
      </w:r>
    </w:p>
    <w:p>
      <w:r>
        <w:t>El análisis exploratorio sobre las matrices de frecuencia temporal revela la estructura epidémica del período 2020-2026. Los 51 clados Nextclade muestran un patrón de sucesión en que cada clado dominante alcanza su pico de frecuencia (entre el 60% y el 95% global) y luego declina abruptamente cuando emerge el siguiente: la pandemia es una secuencia de "olas de dominancia" con escasa co-circulación prolongada entre variantes competidoras. Este patrón de selección de barrido (selective sweep) se hace más pronunciado a partir de la época XBB, donde las transiciones se aceleran.</w:t>
      </w:r>
    </w:p>
    <w:p>
      <w:r>
        <w:t>A nivel de familia Pango, el análisis identifica 435 familias con presencia observable en el período completo, de las cuales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fitness desplazan rápidamente a la mayoría.</w:t>
      </w:r>
    </w:p>
    <w:p>
      <w:r>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r>
        <w:t>El análisis de mutaciones revela 2.269 posiciones aminoacídicas con variación detectable entre familias, de las 205.715 posibles en las proteínas Spike y NSP12. El 67% de estas posiciones están en Spike, con una densidad especialmente alta en el RBD (posiciones 319-541): el 28% de toda la variación observada se concentra en una región que representa solo el 17% de la longitud de Spike. El análisis SHAP del modelo de mutaciones M3-SPNSP confirmará posteriormente que esta concentración de variación en posiciones funcionales (feature position) es la señal predictiva más potente a nivel mutacional.</w:t>
      </w:r>
    </w:p>
    <w:p>
      <w:pPr>
        <w:pStyle w:val="Heading2"/>
      </w:pPr>
      <w:r>
        <w:rPr>
          <w:color w:val="2E74B5"/>
        </w:rPr>
        <w:t>6.2. Modelos de predicción a corto plazo — LightGBM (Módulo 4)</w:t>
      </w:r>
    </w:p>
    <w:p>
      <w:pPr>
        <w:pStyle w:val="Heading3"/>
      </w:pPr>
      <w:r>
        <w:t>6.2.1. Resultados en split temporal fijo</w:t>
      </w:r>
    </w:p>
    <w:p>
      <w:r>
        <w:t>Se entrenaron siete configuraciones del clasificador LightGBM combinando distintos conjuntos de features y niveles de granularidad, con split temporal fijo en 2023-06-01. Los resultados del AUC-ROC en el conjunto de test (n ≥ 2.891 observaciones) son:</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rPr>
              <w:t>Modelo</w:t>
            </w:r>
          </w:p>
        </w:tc>
        <w:tc>
          <w:tcPr>
            <w:tcW w:type="dxa" w:w="1520"/>
          </w:tcPr>
          <w:p>
            <w:pPr>
              <w:jc w:val="center"/>
            </w:pPr>
            <w:r>
              <w:rPr>
                <w:b/>
              </w:rPr>
              <w:t>Dataset</w:t>
            </w:r>
          </w:p>
        </w:tc>
        <w:tc>
          <w:tcPr>
            <w:tcW w:type="dxa" w:w="1520"/>
          </w:tcPr>
          <w:p>
            <w:pPr>
              <w:jc w:val="center"/>
            </w:pPr>
            <w:r>
              <w:rPr>
                <w:b/>
              </w:rPr>
              <w:t>AUC test</w:t>
            </w:r>
          </w:p>
        </w:tc>
        <w:tc>
          <w:tcPr>
            <w:tcW w:type="dxa" w:w="1520"/>
          </w:tcPr>
          <w:p>
            <w:pPr>
              <w:jc w:val="center"/>
            </w:pPr>
            <w:r>
              <w:rPr>
                <w:b/>
              </w:rPr>
              <w:t>AP test</w:t>
            </w:r>
          </w:p>
        </w:tc>
        <w:tc>
          <w:tcPr>
            <w:tcW w:type="dxa" w:w="1520"/>
          </w:tcPr>
          <w:p>
            <w:pPr>
              <w:jc w:val="center"/>
            </w:pPr>
            <w:r>
              <w:rPr>
                <w:b/>
              </w:rPr>
              <w:t>Lift @10%</w:t>
            </w:r>
          </w:p>
        </w:tc>
        <w:tc>
          <w:tcPr>
            <w:tcW w:type="dxa" w:w="1520"/>
          </w:tcPr>
          <w:p>
            <w:pPr>
              <w:jc w:val="center"/>
            </w:pPr>
            <w:r>
              <w:rPr>
                <w:b/>
              </w:rPr>
              <w:t>Iteraciones</w:t>
            </w:r>
          </w:p>
        </w:tc>
      </w:tr>
      <w:tr>
        <w:tc>
          <w:tcPr>
            <w:tcW w:type="dxa" w:w="1520"/>
          </w:tcPr>
          <w:p>
            <w:pPr>
              <w:jc w:val="center"/>
            </w:pPr>
            <w:r>
              <w:t>M1</w:t>
            </w:r>
          </w:p>
        </w:tc>
        <w:tc>
          <w:tcPr>
            <w:tcW w:type="dxa" w:w="1520"/>
          </w:tcPr>
          <w:p>
            <w:pPr>
              <w:jc w:val="center"/>
            </w:pPr>
            <w:r>
              <w:t>Nextclade (51 clados)</w:t>
            </w:r>
          </w:p>
        </w:tc>
        <w:tc>
          <w:tcPr>
            <w:tcW w:type="dxa" w:w="1520"/>
          </w:tcPr>
          <w:p>
            <w:pPr>
              <w:jc w:val="center"/>
            </w:pPr>
            <w:r>
              <w:t>0.9033</w:t>
            </w:r>
          </w:p>
        </w:tc>
        <w:tc>
          <w:tcPr>
            <w:tcW w:type="dxa" w:w="1520"/>
          </w:tcPr>
          <w:p>
            <w:pPr>
              <w:jc w:val="center"/>
            </w:pPr>
            <w:r>
              <w:t>0.7683</w:t>
            </w:r>
          </w:p>
        </w:tc>
        <w:tc>
          <w:tcPr>
            <w:tcW w:type="dxa" w:w="1520"/>
          </w:tcPr>
          <w:p>
            <w:pPr>
              <w:jc w:val="center"/>
            </w:pPr>
            <w:r>
              <w:t>4.69×</w:t>
            </w:r>
          </w:p>
        </w:tc>
        <w:tc>
          <w:tcPr>
            <w:tcW w:type="dxa" w:w="1520"/>
          </w:tcPr>
          <w:p>
            <w:pPr>
              <w:jc w:val="center"/>
            </w:pPr>
            <w:r>
              <w:t>99</w:t>
            </w:r>
          </w:p>
        </w:tc>
      </w:tr>
      <w:tr>
        <w:tc>
          <w:tcPr>
            <w:tcW w:type="dxa" w:w="1520"/>
          </w:tcPr>
          <w:p>
            <w:pPr>
              <w:jc w:val="center"/>
            </w:pPr>
            <w:r>
              <w:t>M1-BIO</w:t>
            </w:r>
          </w:p>
        </w:tc>
        <w:tc>
          <w:tcPr>
            <w:tcW w:type="dxa" w:w="1520"/>
          </w:tcPr>
          <w:p>
            <w:pPr>
              <w:jc w:val="center"/>
            </w:pPr>
            <w:r>
              <w:t>Nextclade + bio features</w:t>
            </w:r>
          </w:p>
        </w:tc>
        <w:tc>
          <w:tcPr>
            <w:tcW w:type="dxa" w:w="1520"/>
          </w:tcPr>
          <w:p>
            <w:pPr>
              <w:jc w:val="center"/>
            </w:pPr>
            <w:r>
              <w:t>0.9036</w:t>
            </w:r>
          </w:p>
        </w:tc>
        <w:tc>
          <w:tcPr>
            <w:tcW w:type="dxa" w:w="1520"/>
          </w:tcPr>
          <w:p>
            <w:pPr>
              <w:jc w:val="center"/>
            </w:pPr>
            <w:r>
              <w:t>0.7092</w:t>
            </w:r>
          </w:p>
        </w:tc>
        <w:tc>
          <w:tcPr>
            <w:tcW w:type="dxa" w:w="1520"/>
          </w:tcPr>
          <w:p>
            <w:pPr>
              <w:jc w:val="center"/>
            </w:pPr>
            <w:r>
              <w:t>4.33×</w:t>
            </w:r>
          </w:p>
        </w:tc>
        <w:tc>
          <w:tcPr>
            <w:tcW w:type="dxa" w:w="1520"/>
          </w:tcPr>
          <w:p>
            <w:pPr>
              <w:jc w:val="center"/>
            </w:pPr>
            <w:r>
              <w:t>40</w:t>
            </w:r>
          </w:p>
        </w:tc>
      </w:tr>
      <w:tr>
        <w:tc>
          <w:tcPr>
            <w:tcW w:type="dxa" w:w="1520"/>
          </w:tcPr>
          <w:p>
            <w:pPr>
              <w:jc w:val="center"/>
            </w:pPr>
            <w:r>
              <w:t>M1-SPNSP</w:t>
            </w:r>
          </w:p>
        </w:tc>
        <w:tc>
          <w:tcPr>
            <w:tcW w:type="dxa" w:w="1520"/>
          </w:tcPr>
          <w:p>
            <w:pPr>
              <w:jc w:val="center"/>
            </w:pPr>
            <w:r>
              <w:t>Nextclade + muts Spike</w:t>
            </w:r>
          </w:p>
        </w:tc>
        <w:tc>
          <w:tcPr>
            <w:tcW w:type="dxa" w:w="1520"/>
          </w:tcPr>
          <w:p>
            <w:pPr>
              <w:jc w:val="center"/>
            </w:pPr>
            <w:r>
              <w:t>0.8869</w:t>
            </w:r>
          </w:p>
        </w:tc>
        <w:tc>
          <w:tcPr>
            <w:tcW w:type="dxa" w:w="1520"/>
          </w:tcPr>
          <w:p>
            <w:pPr>
              <w:jc w:val="center"/>
            </w:pPr>
            <w:r>
              <w:t>0.6896</w:t>
            </w:r>
          </w:p>
        </w:tc>
        <w:tc>
          <w:tcPr>
            <w:tcW w:type="dxa" w:w="1520"/>
          </w:tcPr>
          <w:p>
            <w:pPr>
              <w:jc w:val="center"/>
            </w:pPr>
            <w:r>
              <w:t>4.21×</w:t>
            </w:r>
          </w:p>
        </w:tc>
        <w:tc>
          <w:tcPr>
            <w:tcW w:type="dxa" w:w="1520"/>
          </w:tcPr>
          <w:p>
            <w:pPr>
              <w:jc w:val="center"/>
            </w:pPr>
            <w:r>
              <w:t>12</w:t>
            </w:r>
          </w:p>
        </w:tc>
      </w:tr>
      <w:tr>
        <w:tc>
          <w:tcPr>
            <w:tcW w:type="dxa" w:w="1520"/>
          </w:tcPr>
          <w:p>
            <w:pPr>
              <w:jc w:val="center"/>
            </w:pPr>
            <w:r>
              <w:t>M2</w:t>
            </w:r>
          </w:p>
        </w:tc>
        <w:tc>
          <w:tcPr>
            <w:tcW w:type="dxa" w:w="1520"/>
          </w:tcPr>
          <w:p>
            <w:pPr>
              <w:jc w:val="center"/>
            </w:pPr>
            <w:r>
              <w:t>Familia Pango (19 feat.)</w:t>
            </w:r>
          </w:p>
        </w:tc>
        <w:tc>
          <w:tcPr>
            <w:tcW w:type="dxa" w:w="1520"/>
          </w:tcPr>
          <w:p>
            <w:pPr>
              <w:jc w:val="center"/>
            </w:pPr>
            <w:r>
              <w:t>0.8490</w:t>
            </w:r>
          </w:p>
        </w:tc>
        <w:tc>
          <w:tcPr>
            <w:tcW w:type="dxa" w:w="1520"/>
          </w:tcPr>
          <w:p>
            <w:pPr>
              <w:jc w:val="center"/>
            </w:pPr>
            <w:r>
              <w:t>0.5473</w:t>
            </w:r>
          </w:p>
        </w:tc>
        <w:tc>
          <w:tcPr>
            <w:tcW w:type="dxa" w:w="1520"/>
          </w:tcPr>
          <w:p>
            <w:pPr>
              <w:jc w:val="center"/>
            </w:pPr>
            <w:r>
              <w:t>4.19×</w:t>
            </w:r>
          </w:p>
        </w:tc>
        <w:tc>
          <w:tcPr>
            <w:tcW w:type="dxa" w:w="1520"/>
          </w:tcPr>
          <w:p>
            <w:pPr>
              <w:jc w:val="center"/>
            </w:pPr>
            <w:r>
              <w:t>15</w:t>
            </w:r>
          </w:p>
        </w:tc>
      </w:tr>
      <w:tr>
        <w:tc>
          <w:tcPr>
            <w:tcW w:type="dxa" w:w="1520"/>
          </w:tcPr>
          <w:p>
            <w:pPr>
              <w:jc w:val="center"/>
            </w:pPr>
            <w:r>
              <w:t>M2-SPNSP30</w:t>
            </w:r>
          </w:p>
        </w:tc>
        <w:tc>
          <w:tcPr>
            <w:tcW w:type="dxa" w:w="1520"/>
          </w:tcPr>
          <w:p>
            <w:pPr>
              <w:jc w:val="center"/>
            </w:pPr>
            <w:r>
              <w:t>Familia Pango (49 feat.)</w:t>
            </w:r>
          </w:p>
        </w:tc>
        <w:tc>
          <w:tcPr>
            <w:tcW w:type="dxa" w:w="1520"/>
          </w:tcPr>
          <w:p>
            <w:pPr>
              <w:jc w:val="center"/>
            </w:pPr>
            <w:r>
              <w:t>0.8209</w:t>
            </w:r>
          </w:p>
        </w:tc>
        <w:tc>
          <w:tcPr>
            <w:tcW w:type="dxa" w:w="1520"/>
          </w:tcPr>
          <w:p>
            <w:pPr>
              <w:jc w:val="center"/>
            </w:pPr>
            <w:r>
              <w:t>0.5354</w:t>
            </w:r>
          </w:p>
        </w:tc>
        <w:tc>
          <w:tcPr>
            <w:tcW w:type="dxa" w:w="1520"/>
          </w:tcPr>
          <w:p>
            <w:pPr>
              <w:jc w:val="center"/>
            </w:pPr>
            <w:r>
              <w:t>4.10×</w:t>
            </w:r>
          </w:p>
        </w:tc>
        <w:tc>
          <w:tcPr>
            <w:tcW w:type="dxa" w:w="1520"/>
          </w:tcPr>
          <w:p>
            <w:pPr>
              <w:jc w:val="center"/>
            </w:pPr>
            <w:r>
              <w:t>3</w:t>
            </w:r>
          </w:p>
        </w:tc>
      </w:tr>
      <w:tr>
        <w:tc>
          <w:tcPr>
            <w:tcW w:type="dxa" w:w="1520"/>
          </w:tcPr>
          <w:p>
            <w:pPr>
              <w:jc w:val="center"/>
            </w:pPr>
            <w:r>
              <w:t>M3-SPNSP</w:t>
            </w:r>
          </w:p>
        </w:tc>
        <w:tc>
          <w:tcPr>
            <w:tcW w:type="dxa" w:w="1520"/>
          </w:tcPr>
          <w:p>
            <w:pPr>
              <w:jc w:val="center"/>
            </w:pPr>
            <w:r>
              <w:t>Mutaciones Spike+NSP12</w:t>
            </w:r>
          </w:p>
        </w:tc>
        <w:tc>
          <w:tcPr>
            <w:tcW w:type="dxa" w:w="1520"/>
          </w:tcPr>
          <w:p>
            <w:pPr>
              <w:jc w:val="center"/>
            </w:pPr>
            <w:r>
              <w:t>0.9203</w:t>
            </w:r>
          </w:p>
        </w:tc>
        <w:tc>
          <w:tcPr>
            <w:tcW w:type="dxa" w:w="1520"/>
          </w:tcPr>
          <w:p>
            <w:pPr>
              <w:jc w:val="center"/>
            </w:pPr>
            <w:r>
              <w:t>0.8704</w:t>
            </w:r>
          </w:p>
        </w:tc>
        <w:tc>
          <w:tcPr>
            <w:tcW w:type="dxa" w:w="1520"/>
          </w:tcPr>
          <w:p>
            <w:pPr>
              <w:jc w:val="center"/>
            </w:pPr>
            <w:r>
              <w:t>4.86×</w:t>
            </w:r>
          </w:p>
        </w:tc>
        <w:tc>
          <w:tcPr>
            <w:tcW w:type="dxa" w:w="1520"/>
          </w:tcPr>
          <w:p>
            <w:pPr>
              <w:jc w:val="center"/>
            </w:pPr>
            <w:r>
              <w:t>163</w:t>
            </w:r>
          </w:p>
        </w:tc>
      </w:tr>
      <w:tr>
        <w:tc>
          <w:tcPr>
            <w:tcW w:type="dxa" w:w="1520"/>
          </w:tcPr>
          <w:p>
            <w:pPr>
              <w:jc w:val="center"/>
            </w:pPr>
            <w:r>
              <w:t>M3-ALL</w:t>
            </w:r>
          </w:p>
        </w:tc>
        <w:tc>
          <w:tcPr>
            <w:tcW w:type="dxa" w:w="1520"/>
          </w:tcPr>
          <w:p>
            <w:pPr>
              <w:jc w:val="center"/>
            </w:pPr>
            <w:r>
              <w:t>Todas las mutaciones</w:t>
            </w:r>
          </w:p>
        </w:tc>
        <w:tc>
          <w:tcPr>
            <w:tcW w:type="dxa" w:w="1520"/>
          </w:tcPr>
          <w:p>
            <w:pPr>
              <w:jc w:val="center"/>
            </w:pPr>
            <w:r>
              <w:t>0.8706</w:t>
            </w:r>
          </w:p>
        </w:tc>
        <w:tc>
          <w:tcPr>
            <w:tcW w:type="dxa" w:w="1520"/>
          </w:tcPr>
          <w:p>
            <w:pPr>
              <w:jc w:val="center"/>
            </w:pPr>
            <w:r>
              <w:t>0.7239</w:t>
            </w:r>
          </w:p>
        </w:tc>
        <w:tc>
          <w:tcPr>
            <w:tcW w:type="dxa" w:w="1520"/>
          </w:tcPr>
          <w:p>
            <w:pPr>
              <w:jc w:val="center"/>
            </w:pPr>
            <w:r>
              <w:t>5.53×</w:t>
            </w:r>
          </w:p>
        </w:tc>
        <w:tc>
          <w:tcPr>
            <w:tcW w:type="dxa" w:w="1520"/>
          </w:tcPr>
          <w:p>
            <w:pPr>
              <w:jc w:val="center"/>
            </w:pPr>
            <w:r>
              <w:t>6</w:t>
            </w:r>
          </w:p>
        </w:tc>
      </w:tr>
    </w:tbl>
    <w:p/>
    <w:p>
      <w:r>
        <w:t>M3-SPNSP alcanza el AUC más alto (0.920), seguido de los modelos de clado Nextclade (~0.903). El modelo M2 de familia Pango obtiene 0.849, que es la métrica relevante para el sistema de vigilancia por familias. Destaca que M2-SPNSP30 (0.821) es peor que M2 (0.849): añadir 30 features mutacionales reduce el AUC en test, por las razones de generalización entre épocas discutidas en la sección 5.3.</w:t>
      </w:r>
    </w:p>
    <w:p>
      <w:r>
        <w:t>El Lift @10% (cociente entre la tasa de positivos en el decil superior del ranking vs. la tasa base) entre 4.1× y 5.5× indica que los modelos identifican correctamente entre 4 y 5 veces más variantes emergentes en su top-10% que lo esperado por azar. Para un sistema de vigilancia que prioriza recursos de secuenciación, este nivel de precisión en el top del ranking es la métrica operativa más relevante.</w:t>
      </w:r>
    </w:p>
    <w:p>
      <w:pPr>
        <w:pStyle w:val="Heading3"/>
      </w:pPr>
      <w:r>
        <w:t>6.2.2. Validación walk-forward por épocas pandémicas</w:t>
      </w:r>
    </w:p>
    <w:p>
      <w:r>
        <w:t>La validación walk-forward sobre 5 folds pandémicos ofrece la estimación de rendimiento más conservadora y biológicamente significativa: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Modelo</w:t>
            </w:r>
          </w:p>
        </w:tc>
        <w:tc>
          <w:tcPr>
            <w:tcW w:type="dxa" w:w="1824"/>
          </w:tcPr>
          <w:p>
            <w:pPr>
              <w:jc w:val="center"/>
            </w:pPr>
            <w:r>
              <w:rPr>
                <w:b/>
              </w:rPr>
              <w:t>AUC WF (media)</w:t>
            </w:r>
          </w:p>
        </w:tc>
        <w:tc>
          <w:tcPr>
            <w:tcW w:type="dxa" w:w="1824"/>
          </w:tcPr>
          <w:p>
            <w:pPr>
              <w:jc w:val="center"/>
            </w:pPr>
            <w:r>
              <w:rPr>
                <w:b/>
              </w:rPr>
              <w:t>Std</w:t>
            </w:r>
          </w:p>
        </w:tc>
        <w:tc>
          <w:tcPr>
            <w:tcW w:type="dxa" w:w="1824"/>
          </w:tcPr>
          <w:p>
            <w:pPr>
              <w:jc w:val="center"/>
            </w:pPr>
            <w:r>
              <w:rPr>
                <w:b/>
              </w:rPr>
              <w:t>AUC test (split)</w:t>
            </w:r>
          </w:p>
        </w:tc>
        <w:tc>
          <w:tcPr>
            <w:tcW w:type="dxa" w:w="1824"/>
          </w:tcPr>
          <w:p>
            <w:pPr>
              <w:jc w:val="center"/>
            </w:pPr>
            <w:r>
              <w:rPr>
                <w:b/>
              </w:rPr>
              <w:t>Δ (WF - split)</w:t>
            </w:r>
          </w:p>
        </w:tc>
      </w:tr>
      <w:tr>
        <w:tc>
          <w:tcPr>
            <w:tcW w:type="dxa" w:w="1824"/>
          </w:tcPr>
          <w:p>
            <w:pPr>
              <w:jc w:val="center"/>
            </w:pPr>
            <w:r>
              <w:t>M2</w:t>
            </w:r>
          </w:p>
        </w:tc>
        <w:tc>
          <w:tcPr>
            <w:tcW w:type="dxa" w:w="1824"/>
          </w:tcPr>
          <w:p>
            <w:pPr>
              <w:jc w:val="center"/>
            </w:pPr>
            <w:r>
              <w:t>0.8274</w:t>
            </w:r>
          </w:p>
        </w:tc>
        <w:tc>
          <w:tcPr>
            <w:tcW w:type="dxa" w:w="1824"/>
          </w:tcPr>
          <w:p>
            <w:pPr>
              <w:jc w:val="center"/>
            </w:pPr>
            <w:r>
              <w:t>0.0706</w:t>
            </w:r>
          </w:p>
        </w:tc>
        <w:tc>
          <w:tcPr>
            <w:tcW w:type="dxa" w:w="1824"/>
          </w:tcPr>
          <w:p>
            <w:pPr>
              <w:jc w:val="center"/>
            </w:pPr>
            <w:r>
              <w:t>0.8490</w:t>
            </w:r>
          </w:p>
        </w:tc>
        <w:tc>
          <w:tcPr>
            <w:tcW w:type="dxa" w:w="1824"/>
          </w:tcPr>
          <w:p>
            <w:pPr>
              <w:jc w:val="center"/>
            </w:pPr>
            <w:r>
              <w:t>−0.022</w:t>
            </w:r>
          </w:p>
        </w:tc>
      </w:tr>
      <w:tr>
        <w:tc>
          <w:tcPr>
            <w:tcW w:type="dxa" w:w="1824"/>
          </w:tcPr>
          <w:p>
            <w:pPr>
              <w:jc w:val="center"/>
            </w:pPr>
            <w:r>
              <w:t>M2-SPNSP30</w:t>
            </w:r>
          </w:p>
        </w:tc>
        <w:tc>
          <w:tcPr>
            <w:tcW w:type="dxa" w:w="1824"/>
          </w:tcPr>
          <w:p>
            <w:pPr>
              <w:jc w:val="center"/>
            </w:pPr>
            <w:r>
              <w:t>0.7878</w:t>
            </w:r>
          </w:p>
        </w:tc>
        <w:tc>
          <w:tcPr>
            <w:tcW w:type="dxa" w:w="1824"/>
          </w:tcPr>
          <w:p>
            <w:pPr>
              <w:jc w:val="center"/>
            </w:pPr>
            <w:r>
              <w:t>0.1067</w:t>
            </w:r>
          </w:p>
        </w:tc>
        <w:tc>
          <w:tcPr>
            <w:tcW w:type="dxa" w:w="1824"/>
          </w:tcPr>
          <w:p>
            <w:pPr>
              <w:jc w:val="center"/>
            </w:pPr>
            <w:r>
              <w:t>0.8209</w:t>
            </w:r>
          </w:p>
        </w:tc>
        <w:tc>
          <w:tcPr>
            <w:tcW w:type="dxa" w:w="1824"/>
          </w:tcPr>
          <w:p>
            <w:pPr>
              <w:jc w:val="center"/>
            </w:pPr>
            <w:r>
              <w:t>−0.033</w:t>
            </w:r>
          </w:p>
        </w:tc>
      </w:tr>
      <w:tr>
        <w:tc>
          <w:tcPr>
            <w:tcW w:type="dxa" w:w="1824"/>
          </w:tcPr>
          <w:p>
            <w:pPr>
              <w:jc w:val="center"/>
            </w:pPr>
            <w:r>
              <w:t>M3-SPNSP</w:t>
            </w:r>
          </w:p>
        </w:tc>
        <w:tc>
          <w:tcPr>
            <w:tcW w:type="dxa" w:w="1824"/>
          </w:tcPr>
          <w:p>
            <w:pPr>
              <w:jc w:val="center"/>
            </w:pPr>
            <w:r>
              <w:t>0.8653</w:t>
            </w:r>
          </w:p>
        </w:tc>
        <w:tc>
          <w:tcPr>
            <w:tcW w:type="dxa" w:w="1824"/>
          </w:tcPr>
          <w:p>
            <w:pPr>
              <w:jc w:val="center"/>
            </w:pPr>
            <w:r>
              <w:t>0.0628</w:t>
            </w:r>
          </w:p>
        </w:tc>
        <w:tc>
          <w:tcPr>
            <w:tcW w:type="dxa" w:w="1824"/>
          </w:tcPr>
          <w:p>
            <w:pPr>
              <w:jc w:val="center"/>
            </w:pPr>
            <w:r>
              <w:t>0.9203</w:t>
            </w:r>
          </w:p>
        </w:tc>
        <w:tc>
          <w:tcPr>
            <w:tcW w:type="dxa" w:w="1824"/>
          </w:tcPr>
          <w:p>
            <w:pPr>
              <w:jc w:val="center"/>
            </w:pPr>
            <w:r>
              <w:t>−0.055</w:t>
            </w:r>
          </w:p>
        </w:tc>
      </w:tr>
      <w:tr>
        <w:tc>
          <w:tcPr>
            <w:tcW w:type="dxa" w:w="1824"/>
          </w:tcPr>
          <w:p>
            <w:pPr>
              <w:jc w:val="center"/>
            </w:pPr>
            <w:r>
              <w:t>M3-ALL</w:t>
            </w:r>
          </w:p>
        </w:tc>
        <w:tc>
          <w:tcPr>
            <w:tcW w:type="dxa" w:w="1824"/>
          </w:tcPr>
          <w:p>
            <w:pPr>
              <w:jc w:val="center"/>
            </w:pPr>
            <w:r>
              <w:t>0.7925</w:t>
            </w:r>
          </w:p>
        </w:tc>
        <w:tc>
          <w:tcPr>
            <w:tcW w:type="dxa" w:w="1824"/>
          </w:tcPr>
          <w:p>
            <w:pPr>
              <w:jc w:val="center"/>
            </w:pPr>
            <w:r>
              <w:t>0.0558</w:t>
            </w:r>
          </w:p>
        </w:tc>
        <w:tc>
          <w:tcPr>
            <w:tcW w:type="dxa" w:w="1824"/>
          </w:tcPr>
          <w:p>
            <w:pPr>
              <w:jc w:val="center"/>
            </w:pPr>
            <w:r>
              <w:t>0.8706</w:t>
            </w:r>
          </w:p>
        </w:tc>
        <w:tc>
          <w:tcPr>
            <w:tcW w:type="dxa" w:w="1824"/>
          </w:tcPr>
          <w:p>
            <w:pPr>
              <w:jc w:val="center"/>
            </w:pPr>
            <w:r>
              <w:t>−0.078</w:t>
            </w:r>
          </w:p>
        </w:tc>
      </w:tr>
    </w:tbl>
    <w:p/>
    <w:p>
      <w:r>
        <w:t>El resultado más importante de esta tabla es que el walk-forward es consistentemente menor que el split en todos los datasets (Δ negativo). Antes de las correcciones de leakage, el fold KP/XEC de M2 presentaba iter=1 (el modelo se detenía inmediatamente porque el test set actuaba como señal de parada) y el AUC walk-forward de M2 era espuriamente alto. Con las correcciones, ese fold es ahora normal (iter=42 para M2, 82 para M3-SPNSP) y la diferencia walk-forward &lt; split es exactamente la esperada: el walk-forward es un estimador más conservador porque enfrenta al modelo con paisajes virales cualitativamente distintos a los vistos en el entrenamiento.</w:t>
      </w:r>
    </w:p>
    <w:p>
      <w:r>
        <w:t>El fold de mayor dificultad es el correspondiente a la época BA.4/5 (entrenamiento pre-BA.4/5, test en BA.4/5), donde M2 obtiene AUC≈0.77 y M2-SPNSP30 colapsa a AUC≈0.645. La diferencia entre ambos modelos en este fold tiene una interpretación clara: las 30 features mutacionales de M2-SPNSP30 fueron seleccionadas sobre la época XBB y no son transferibles a BA.4/5, que tiene un perfil mutacional cualitativamente diferente. M2 puro, basado en features temporales universales, mantiene un AUC razonable en todos los folds (std=0.071).</w:t>
      </w:r>
    </w:p>
    <w:p>
      <w:r>
        <w:t>La variabilidad entre folds de M3-SPNSP (std=0.063, menor que M2) puede parecer sorprendente dado que incluye features posicionales muy específicas. La explicación es que la feature position y n_families son lo suficientemente abstracts como para generalizar: las mutaciones en posiciones del RBD bajo convergencia evolutiva son predictivas de dominancia futura independientemente de cuáles sean las variantes específicas de cada época.</w:t>
      </w:r>
    </w:p>
    <w:p>
      <w:pPr>
        <w:pStyle w:val="Heading3"/>
      </w:pPr>
      <w:r>
        <w:t>6.2.3. Análisis SHAP de importancia de features</w:t>
      </w:r>
    </w:p>
    <w:p>
      <w:r>
        <w:t>El análisis SHAP (SHapley Additive exPlanations, Lundberg &amp; Lee 2017) descompone la predicción de cada ejemplo en contribuciones aditivas de cada feature, garantizando que la suma de las contribuciones individuales sea igual a la predicción total (propiedad de eficiencia). Los valores |SHAP| medios representan la importancia global de cada feature, mientras que los dependence plots muestran cómo la contribución de una feature varía con su valor y con features de interacción.</w:t>
      </w:r>
    </w:p>
    <w:p>
      <w:r>
        <w:rPr>
          <w:b/>
        </w:rPr>
        <w:t>Top-5 features por dataset (mean |SHAP|):</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rPr>
              <w:t>Rango</w:t>
            </w:r>
          </w:p>
        </w:tc>
        <w:tc>
          <w:tcPr>
            <w:tcW w:type="dxa" w:w="1520"/>
          </w:tcPr>
          <w:p>
            <w:pPr>
              <w:jc w:val="center"/>
            </w:pPr>
            <w:r>
              <w:rPr>
                <w:b/>
              </w:rPr>
              <w:t>M1 (Nextclade)</w:t>
            </w:r>
          </w:p>
        </w:tc>
        <w:tc>
          <w:tcPr>
            <w:tcW w:type="dxa" w:w="1520"/>
          </w:tcPr>
          <w:p>
            <w:pPr>
              <w:jc w:val="center"/>
            </w:pPr>
            <w:r>
              <w:rPr>
                <w:b/>
              </w:rPr>
              <w:t>M2 (Pango)</w:t>
            </w:r>
          </w:p>
        </w:tc>
        <w:tc>
          <w:tcPr>
            <w:tcW w:type="dxa" w:w="1520"/>
          </w:tcPr>
          <w:p>
            <w:pPr>
              <w:jc w:val="center"/>
            </w:pPr>
            <w:r>
              <w:rPr>
                <w:b/>
              </w:rPr>
              <w:t>M2-SPNSP30</w:t>
            </w:r>
          </w:p>
        </w:tc>
        <w:tc>
          <w:tcPr>
            <w:tcW w:type="dxa" w:w="1520"/>
          </w:tcPr>
          <w:p>
            <w:pPr>
              <w:jc w:val="center"/>
            </w:pPr>
            <w:r>
              <w:rPr>
                <w:b/>
              </w:rPr>
              <w:t>M3-SPNSP</w:t>
            </w:r>
          </w:p>
        </w:tc>
        <w:tc>
          <w:tcPr>
            <w:tcW w:type="dxa" w:w="1520"/>
          </w:tcPr>
          <w:p>
            <w:pPr>
              <w:jc w:val="center"/>
            </w:pPr>
            <w:r>
              <w:rPr>
                <w:b/>
              </w:rPr>
              <w:t>M3-ALL</w:t>
            </w:r>
          </w:p>
        </w:tc>
      </w:tr>
      <w:tr>
        <w:tc>
          <w:tcPr>
            <w:tcW w:type="dxa" w:w="1520"/>
          </w:tcPr>
          <w:p>
            <w:pPr>
              <w:jc w:val="center"/>
            </w:pPr>
            <w:r>
              <w:t>1</w:t>
            </w:r>
          </w:p>
        </w:tc>
        <w:tc>
          <w:tcPr>
            <w:tcW w:type="dxa" w:w="1520"/>
          </w:tcPr>
          <w:p>
            <w:pPr>
              <w:jc w:val="center"/>
            </w:pPr>
            <w:r>
              <w:t>peak_hist (3.25)</w:t>
            </w:r>
          </w:p>
        </w:tc>
        <w:tc>
          <w:tcPr>
            <w:tcW w:type="dxa" w:w="1520"/>
          </w:tcPr>
          <w:p>
            <w:pPr>
              <w:jc w:val="center"/>
            </w:pPr>
            <w:r>
              <w:t>age_weeks (0.361)</w:t>
            </w:r>
          </w:p>
        </w:tc>
        <w:tc>
          <w:tcPr>
            <w:tcW w:type="dxa" w:w="1520"/>
          </w:tcPr>
          <w:p>
            <w:pPr>
              <w:jc w:val="center"/>
            </w:pPr>
            <w:r>
              <w:t>mean_spike_muts (0.084)</w:t>
            </w:r>
          </w:p>
        </w:tc>
        <w:tc>
          <w:tcPr>
            <w:tcW w:type="dxa" w:w="1520"/>
          </w:tcPr>
          <w:p>
            <w:pPr>
              <w:jc w:val="center"/>
            </w:pPr>
            <w:r>
              <w:t>position (0.951)</w:t>
            </w:r>
          </w:p>
        </w:tc>
        <w:tc>
          <w:tcPr>
            <w:tcW w:type="dxa" w:w="1520"/>
          </w:tcPr>
          <w:p>
            <w:pPr>
              <w:jc w:val="center"/>
            </w:pPr>
            <w:r>
              <w:t>is_spike (0.146)</w:t>
            </w:r>
          </w:p>
        </w:tc>
      </w:tr>
      <w:tr>
        <w:tc>
          <w:tcPr>
            <w:tcW w:type="dxa" w:w="1520"/>
          </w:tcPr>
          <w:p>
            <w:pPr>
              <w:jc w:val="center"/>
            </w:pPr>
            <w:r>
              <w:t>2</w:t>
            </w:r>
          </w:p>
        </w:tc>
        <w:tc>
          <w:tcPr>
            <w:tcW w:type="dxa" w:w="1520"/>
          </w:tcPr>
          <w:p>
            <w:pPr>
              <w:jc w:val="center"/>
            </w:pPr>
            <w:r>
              <w:t>slope_8w (0.35)</w:t>
            </w:r>
          </w:p>
        </w:tc>
        <w:tc>
          <w:tcPr>
            <w:tcW w:type="dxa" w:w="1520"/>
          </w:tcPr>
          <w:p>
            <w:pPr>
              <w:jc w:val="center"/>
            </w:pPr>
            <w:r>
              <w:t>mean_spike_muts (0.358)</w:t>
            </w:r>
          </w:p>
        </w:tc>
        <w:tc>
          <w:tcPr>
            <w:tcW w:type="dxa" w:w="1520"/>
          </w:tcPr>
          <w:p>
            <w:pPr>
              <w:jc w:val="center"/>
            </w:pPr>
            <w:r>
              <w:t>n_escape_muts (0.080)</w:t>
            </w:r>
          </w:p>
        </w:tc>
        <w:tc>
          <w:tcPr>
            <w:tcW w:type="dxa" w:w="1520"/>
          </w:tcPr>
          <w:p>
            <w:pPr>
              <w:jc w:val="center"/>
            </w:pPr>
            <w:r>
              <w:t>n_families (0.921)</w:t>
            </w:r>
          </w:p>
        </w:tc>
        <w:tc>
          <w:tcPr>
            <w:tcW w:type="dxa" w:w="1520"/>
          </w:tcPr>
          <w:p>
            <w:pPr>
              <w:jc w:val="center"/>
            </w:pPr>
            <w:r>
              <w:t>freq_std_8w (0.103)</w:t>
            </w:r>
          </w:p>
        </w:tc>
      </w:tr>
      <w:tr>
        <w:tc>
          <w:tcPr>
            <w:tcW w:type="dxa" w:w="1520"/>
          </w:tcPr>
          <w:p>
            <w:pPr>
              <w:jc w:val="center"/>
            </w:pPr>
            <w:r>
              <w:t>3</w:t>
            </w:r>
          </w:p>
        </w:tc>
        <w:tc>
          <w:tcPr>
            <w:tcW w:type="dxa" w:w="1520"/>
          </w:tcPr>
          <w:p>
            <w:pPr>
              <w:jc w:val="center"/>
            </w:pPr>
            <w:r>
              <w:t>n_active_8w (0.35)</w:t>
            </w:r>
          </w:p>
        </w:tc>
        <w:tc>
          <w:tcPr>
            <w:tcW w:type="dxa" w:w="1520"/>
          </w:tcPr>
          <w:p>
            <w:pPr>
              <w:jc w:val="center"/>
            </w:pPr>
            <w:r>
              <w:t>n_escape_muts (0.310)</w:t>
            </w:r>
          </w:p>
        </w:tc>
        <w:tc>
          <w:tcPr>
            <w:tcW w:type="dxa" w:w="1520"/>
          </w:tcPr>
          <w:p>
            <w:pPr>
              <w:jc w:val="center"/>
            </w:pPr>
            <w:r>
              <w:t>age_weeks (0.077)</w:t>
            </w:r>
          </w:p>
        </w:tc>
        <w:tc>
          <w:tcPr>
            <w:tcW w:type="dxa" w:w="1520"/>
          </w:tcPr>
          <w:p>
            <w:pPr>
              <w:jc w:val="center"/>
            </w:pPr>
            <w:r>
              <w:t>freq_t0 (0.652)</w:t>
            </w:r>
          </w:p>
        </w:tc>
        <w:tc>
          <w:tcPr>
            <w:tcW w:type="dxa" w:w="1520"/>
          </w:tcPr>
          <w:p>
            <w:pPr>
              <w:jc w:val="center"/>
            </w:pPr>
            <w:r>
              <w:t>position (0.078)</w:t>
            </w:r>
          </w:p>
        </w:tc>
      </w:tr>
      <w:tr>
        <w:tc>
          <w:tcPr>
            <w:tcW w:type="dxa" w:w="1520"/>
          </w:tcPr>
          <w:p>
            <w:pPr>
              <w:jc w:val="center"/>
            </w:pPr>
            <w:r>
              <w:t>4</w:t>
            </w:r>
          </w:p>
        </w:tc>
        <w:tc>
          <w:tcPr>
            <w:tcW w:type="dxa" w:w="1520"/>
          </w:tcPr>
          <w:p>
            <w:pPr>
              <w:jc w:val="center"/>
            </w:pPr>
            <w:r>
              <w:t>age_weeks (0.28)</w:t>
            </w:r>
          </w:p>
        </w:tc>
        <w:tc>
          <w:tcPr>
            <w:tcW w:type="dxa" w:w="1520"/>
          </w:tcPr>
          <w:p>
            <w:pPr>
              <w:jc w:val="center"/>
            </w:pPr>
            <w:r>
              <w:t>n_countries (0.116)</w:t>
            </w:r>
          </w:p>
        </w:tc>
        <w:tc>
          <w:tcPr>
            <w:tcW w:type="dxa" w:w="1520"/>
          </w:tcPr>
          <w:p>
            <w:pPr>
              <w:jc w:val="center"/>
            </w:pPr>
            <w:r>
              <w:t>n_countries (0.049)</w:t>
            </w:r>
          </w:p>
        </w:tc>
        <w:tc>
          <w:tcPr>
            <w:tcW w:type="dxa" w:w="1520"/>
          </w:tcPr>
          <w:p>
            <w:pPr>
              <w:jc w:val="center"/>
            </w:pPr>
            <w:r>
              <w:t>freq_std_8w (0.459)</w:t>
            </w:r>
          </w:p>
        </w:tc>
        <w:tc>
          <w:tcPr>
            <w:tcW w:type="dxa" w:w="1520"/>
          </w:tcPr>
          <w:p>
            <w:pPr>
              <w:jc w:val="center"/>
            </w:pPr>
            <w:r>
              <w:t>n_families (0.073)</w:t>
            </w:r>
          </w:p>
        </w:tc>
      </w:tr>
      <w:tr>
        <w:tc>
          <w:tcPr>
            <w:tcW w:type="dxa" w:w="1520"/>
          </w:tcPr>
          <w:p>
            <w:pPr>
              <w:jc w:val="center"/>
            </w:pPr>
            <w:r>
              <w:t>5</w:t>
            </w:r>
          </w:p>
        </w:tc>
        <w:tc>
          <w:tcPr>
            <w:tcW w:type="dxa" w:w="1520"/>
          </w:tcPr>
          <w:p>
            <w:pPr>
              <w:jc w:val="center"/>
            </w:pPr>
            <w:r>
              <w:t>freq_t0 (0.28)</w:t>
            </w:r>
          </w:p>
        </w:tc>
        <w:tc>
          <w:tcPr>
            <w:tcW w:type="dxa" w:w="1520"/>
          </w:tcPr>
          <w:p>
            <w:pPr>
              <w:jc w:val="center"/>
            </w:pPr>
            <w:r>
              <w:t>peak_hist (0.110)</w:t>
            </w:r>
          </w:p>
        </w:tc>
        <w:tc>
          <w:tcPr>
            <w:tcW w:type="dxa" w:w="1520"/>
          </w:tcPr>
          <w:p>
            <w:pPr>
              <w:jc w:val="center"/>
            </w:pPr>
            <w:r>
              <w:t>freq_t0 (0.038)</w:t>
            </w:r>
          </w:p>
        </w:tc>
        <w:tc>
          <w:tcPr>
            <w:tcW w:type="dxa" w:w="1520"/>
          </w:tcPr>
          <w:p>
            <w:pPr>
              <w:jc w:val="center"/>
            </w:pPr>
            <w:r>
              <w:t>freq_mean_8w (0.281)</w:t>
            </w:r>
          </w:p>
        </w:tc>
        <w:tc>
          <w:tcPr>
            <w:tcW w:type="dxa" w:w="1520"/>
          </w:tcPr>
          <w:p>
            <w:pPr>
              <w:jc w:val="center"/>
            </w:pPr>
            <w:r>
              <w:t>freq_t0 (0.066)</w:t>
            </w:r>
          </w:p>
        </w:tc>
      </w:tr>
    </w:tbl>
    <w:p/>
    <w:p>
      <w:r>
        <w:t>Hallazgo 1 — peak_hist domina M1. En el modelo de clados Nextclade, la frecuencia máxima histórica del clado supera en 9× a la segunda feature (|SHAP|=3.25 vs. 0.35). Esto refleja el patrón de sucesión pandémica: los clados que ya dominaron antes tienden a recuperar frecuencia cuando sus sub-linajes emergen. La "memoria histórica" del clado es la señal más fuerte a esta granularidad.</w:t>
      </w:r>
    </w:p>
    <w:p>
      <w:r>
        <w:t>Hallazgo 2 — Recuperación de features biológicas en M2 con la censura correcta. Con las etiquetas censuradas, mean_spike_muts (0.358) y n_escape_muts (0.310) alcanzan el mismo rango que age_weeks (0.361) en M2. Antes del fix, age_weeks dominaba con |SHAP|=0.78 porque las variantes antiguas tendían a haber dominado eventualmente en la historia completa (no censurada). Con la censura correcta, el modelo aprende la señal real: la cantidad de mutaciones de escape inmune acumuladas es tan informativa como la antigüedad de la variante. Este es uno de los resultados más importantes del trabajo: la corrección de leakage no solo hace los números más honestos, sino que también hace el modelo más biológicamente coherente.</w:t>
      </w:r>
    </w:p>
    <w:p>
      <w:r>
        <w:t>Hallazgo 3 — position y n_families co-lideran en M3-SPNSP. Los dos predictores de mayor |SHAP| en el modelo de mutaciones son la posición aminoacídica (0.951) y el número de familias que portan esa mutación (0.921), con valores casi idénticos. Esto implementa cuantitativamente el principio de evolución convergente: las mutaciones en posiciones funcionales (RBD, sitio furina) que emergen independientemente en múltiples linajes están bajo presión selectiva real. El modelo aprendió exactamente ese patrón sin ninguna supervisión biológica explícita.</w:t>
      </w:r>
    </w:p>
    <w:p>
      <w:r>
        <w:t>Hallazgo 4 — is_spike lidera M3-ALL. Cuando el modelo incluye todas las mutaciones del genoma (no solo Spike y NSP12), la feature más discriminativa es si la mutación pertenece o no a la proteína Spike (|SHAP|=0.146). Añadir mutaciones de otras regiones diluyó la señal individual, pero el modelo compensó aprendiendo que el gen Spike es la clave para predecir dominancia futura. Este resultado valida la estrategia de M3-SPNSP de centrarse en Spike y NSP12.</w:t>
      </w:r>
    </w:p>
    <w:p>
      <w:pPr>
        <w:pStyle w:val="Heading2"/>
      </w:pPr>
      <w:r>
        <w:rPr>
          <w:color w:val="2E74B5"/>
        </w:rPr>
        <w:t>6.3. Análisis de supervivencia Cox PH (Módulo 5)</w:t>
      </w:r>
    </w:p>
    <w:p>
      <w:pPr>
        <w:pStyle w:val="Heading3"/>
      </w:pPr>
      <w:r>
        <w:t>6.3.1. Kaplan-Meier: tiempo hasta dominancia de familias</w:t>
      </w:r>
    </w:p>
    <w:p>
      <w:r>
        <w:t>El estimador Kaplan-Meier proporciona una estimación no paramétrica de la función de supervivencia S(t) = P(T &gt; t), donde T es el tiempo hasta que una familia alcanza el 10% de frecuencia global. El análisis se realiza sobre las 435 familias Pango con alguna detección global (freq_detect ≥ 0.1% al menos una semana).</w:t>
      </w:r>
    </w:p>
    <w:p>
      <w:r>
        <w:t>Los resultados del log-rank test para las variables dicotomizadas son: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Variable</w:t>
            </w:r>
          </w:p>
        </w:tc>
        <w:tc>
          <w:tcPr>
            <w:tcW w:type="dxa" w:w="2280"/>
          </w:tcPr>
          <w:p>
            <w:pPr>
              <w:jc w:val="center"/>
            </w:pPr>
            <w:r>
              <w:rPr>
                <w:b/>
              </w:rPr>
              <w:t>Grupos</w:t>
            </w:r>
          </w:p>
        </w:tc>
        <w:tc>
          <w:tcPr>
            <w:tcW w:type="dxa" w:w="2280"/>
          </w:tcPr>
          <w:p>
            <w:pPr>
              <w:jc w:val="center"/>
            </w:pPr>
            <w:r>
              <w:rPr>
                <w:b/>
              </w:rPr>
              <w:t>Log-rank p</w:t>
            </w:r>
          </w:p>
        </w:tc>
        <w:tc>
          <w:tcPr>
            <w:tcW w:type="dxa" w:w="2280"/>
          </w:tcPr>
          <w:p>
            <w:pPr>
              <w:jc w:val="center"/>
            </w:pPr>
            <w:r>
              <w:rPr>
                <w:b/>
              </w:rPr>
              <w:t>Interpretación</w:t>
            </w:r>
          </w:p>
        </w:tc>
      </w:tr>
      <w:tr>
        <w:tc>
          <w:tcPr>
            <w:tcW w:type="dxa" w:w="2280"/>
          </w:tcPr>
          <w:p>
            <w:pPr>
              <w:jc w:val="center"/>
            </w:pPr>
            <w:r>
              <w:t>freq_detect alta vs. baja</w:t>
            </w:r>
          </w:p>
        </w:tc>
        <w:tc>
          <w:tcPr>
            <w:tcW w:type="dxa" w:w="2280"/>
          </w:tcPr>
          <w:p>
            <w:pPr>
              <w:jc w:val="center"/>
            </w:pPr>
            <w:r>
              <w:t>Mediana = 0.3%</w:t>
            </w:r>
          </w:p>
        </w:tc>
        <w:tc>
          <w:tcPr>
            <w:tcW w:type="dxa" w:w="2280"/>
          </w:tcPr>
          <w:p>
            <w:pPr>
              <w:jc w:val="center"/>
            </w:pPr>
            <w:r>
              <w:t>p &lt; 0.001</w:t>
            </w:r>
          </w:p>
        </w:tc>
        <w:tc>
          <w:tcPr>
            <w:tcW w:type="dxa" w:w="2280"/>
          </w:tcPr>
          <w:p>
            <w:pPr>
              <w:jc w:val="center"/>
            </w:pPr>
            <w:r>
              <w:t>Las variantes de mayor frecuencia inicial alcanzan dominancia mucho más rápido</w:t>
            </w:r>
          </w:p>
        </w:tc>
      </w:tr>
      <w:tr>
        <w:tc>
          <w:tcPr>
            <w:tcW w:type="dxa" w:w="2280"/>
          </w:tcPr>
          <w:p>
            <w:pPr>
              <w:jc w:val="center"/>
            </w:pPr>
            <w:r>
              <w:t>log_growth_early alto vs. bajo</w:t>
            </w:r>
          </w:p>
        </w:tc>
        <w:tc>
          <w:tcPr>
            <w:tcW w:type="dxa" w:w="2280"/>
          </w:tcPr>
          <w:p>
            <w:pPr>
              <w:jc w:val="center"/>
            </w:pPr>
            <w:r>
              <w:t>Mediana</w:t>
            </w:r>
          </w:p>
        </w:tc>
        <w:tc>
          <w:tcPr>
            <w:tcW w:type="dxa" w:w="2280"/>
          </w:tcPr>
          <w:p>
            <w:pPr>
              <w:jc w:val="center"/>
            </w:pPr>
            <w:r>
              <w:t>p = 0.067</w:t>
            </w:r>
          </w:p>
        </w:tc>
        <w:tc>
          <w:tcPr>
            <w:tcW w:type="dxa" w:w="2280"/>
          </w:tcPr>
          <w:p>
            <w:pPr>
              <w:jc w:val="center"/>
            </w:pPr>
            <w:r>
              <w:t>Borderline: crecimiento rápido inicial no garantiza dominancia duradera</w:t>
            </w:r>
          </w:p>
        </w:tc>
      </w:tr>
      <w:tr>
        <w:tc>
          <w:tcPr>
            <w:tcW w:type="dxa" w:w="2280"/>
          </w:tcPr>
          <w:p>
            <w:pPr>
              <w:jc w:val="center"/>
            </w:pPr>
            <w:r>
              <w:t>Época pandémica</w:t>
            </w:r>
          </w:p>
        </w:tc>
        <w:tc>
          <w:tcPr>
            <w:tcW w:type="dxa" w:w="2280"/>
          </w:tcPr>
          <w:p>
            <w:pPr>
              <w:jc w:val="center"/>
            </w:pPr>
            <w:r>
              <w:t>6 épocas</w:t>
            </w:r>
          </w:p>
        </w:tc>
        <w:tc>
          <w:tcPr>
            <w:tcW w:type="dxa" w:w="2280"/>
          </w:tcPr>
          <w:p>
            <w:pPr>
              <w:jc w:val="center"/>
            </w:pPr>
            <w:r>
              <w:t>p = 0.43</w:t>
            </w:r>
          </w:p>
        </w:tc>
        <w:tc>
          <w:tcPr>
            <w:tcW w:type="dxa" w:w="2280"/>
          </w:tcPr>
          <w:p>
            <w:pPr>
              <w:jc w:val="center"/>
            </w:pPr>
            <w:r>
              <w:t>No significativo: la velocidad de dominancia no depende de la época</w:t>
            </w:r>
          </w:p>
        </w:tc>
      </w:tr>
      <w:tr>
        <w:tc>
          <w:tcPr>
            <w:tcW w:type="dxa" w:w="2280"/>
          </w:tcPr>
          <w:p>
            <w:pPr>
              <w:jc w:val="center"/>
            </w:pPr>
            <w:r>
              <w:t>is_rbd (mutaciones)</w:t>
            </w:r>
          </w:p>
        </w:tc>
        <w:tc>
          <w:tcPr>
            <w:tcW w:type="dxa" w:w="2280"/>
          </w:tcPr>
          <w:p>
            <w:pPr>
              <w:jc w:val="center"/>
            </w:pPr>
            <w:r>
              <w:t>Sí/No</w:t>
            </w:r>
          </w:p>
        </w:tc>
        <w:tc>
          <w:tcPr>
            <w:tcW w:type="dxa" w:w="2280"/>
          </w:tcPr>
          <w:p>
            <w:pPr>
              <w:jc w:val="center"/>
            </w:pPr>
            <w:r>
              <w:t>p &lt; 0.001</w:t>
            </w:r>
          </w:p>
        </w:tc>
        <w:tc>
          <w:tcPr>
            <w:tcW w:type="dxa" w:w="2280"/>
          </w:tcPr>
          <w:p>
            <w:pPr>
              <w:jc w:val="center"/>
            </w:pPr>
            <w:r>
              <w:t>Mutaciones en RBD se fijan mucho antes que las de otras regiones</w:t>
            </w:r>
          </w:p>
        </w:tc>
      </w:tr>
      <w:tr>
        <w:tc>
          <w:tcPr>
            <w:tcW w:type="dxa" w:w="2280"/>
          </w:tcPr>
          <w:p>
            <w:pPr>
              <w:jc w:val="center"/>
            </w:pPr>
            <w:r>
              <w:t>is_spike (mutaciones)</w:t>
            </w:r>
          </w:p>
        </w:tc>
        <w:tc>
          <w:tcPr>
            <w:tcW w:type="dxa" w:w="2280"/>
          </w:tcPr>
          <w:p>
            <w:pPr>
              <w:jc w:val="center"/>
            </w:pPr>
            <w:r>
              <w:t>Sí/No</w:t>
            </w:r>
          </w:p>
        </w:tc>
        <w:tc>
          <w:tcPr>
            <w:tcW w:type="dxa" w:w="2280"/>
          </w:tcPr>
          <w:p>
            <w:pPr>
              <w:jc w:val="center"/>
            </w:pPr>
            <w:r>
              <w:t>p = 0.012</w:t>
            </w:r>
          </w:p>
        </w:tc>
        <w:tc>
          <w:tcPr>
            <w:tcW w:type="dxa" w:w="2280"/>
          </w:tcPr>
          <w:p>
            <w:pPr>
              <w:jc w:val="center"/>
            </w:pPr>
            <w:r>
              <w:t>Mutaciones Spike se fijan antes que las NSP12</w:t>
            </w:r>
          </w:p>
        </w:tc>
      </w:tr>
    </w:tbl>
    <w:p/>
    <w:p>
      <w:r>
        <w:t>La no significatividad de la época pandémica es un hallazgo relevante: sugiere que los mecanismos de selección son universales y no dependen del contexto inmunológico específico de cada época. Una variante con alta frecuencia de detección en 2021 tarda aproximadamente lo mismo en dominar que una variante equivalente en 2024. Esto valida el uso de datos de épocas previas para predecir la dinámica futura.</w:t>
      </w:r>
    </w:p>
    <w:p>
      <w:pPr>
        <w:pStyle w:val="Heading3"/>
      </w:pPr>
      <w:r>
        <w:t>6.3.2. Modelo Cox PH: hazard ratios e interpretación biológica</w:t>
      </w:r>
    </w:p>
    <w:p>
      <w:r>
        <w:t>El modelo Cox PH ajustado sobre familias Pango (23 eventos sobre 435 familias observadas, EPV=7.7) con penalización L2 (penalizer=0.1 en lifelines para estabilizar los coeficientes con pocos eventos) obtiene los siguientes hazard ratios: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Feature</w:t>
            </w:r>
          </w:p>
        </w:tc>
        <w:tc>
          <w:tcPr>
            <w:tcW w:type="dxa" w:w="2280"/>
          </w:tcPr>
          <w:p>
            <w:pPr>
              <w:jc w:val="center"/>
            </w:pPr>
            <w:r>
              <w:rPr>
                <w:b/>
              </w:rPr>
              <w:t>HR (exp(β))</w:t>
            </w:r>
          </w:p>
        </w:tc>
        <w:tc>
          <w:tcPr>
            <w:tcW w:type="dxa" w:w="2280"/>
          </w:tcPr>
          <w:p>
            <w:pPr>
              <w:jc w:val="center"/>
            </w:pPr>
            <w:r>
              <w:rPr>
                <w:b/>
              </w:rPr>
              <w:t>p-valor</w:t>
            </w:r>
          </w:p>
        </w:tc>
        <w:tc>
          <w:tcPr>
            <w:tcW w:type="dxa" w:w="2280"/>
          </w:tcPr>
          <w:p>
            <w:pPr>
              <w:jc w:val="center"/>
            </w:pPr>
            <w:r>
              <w:rPr>
                <w:b/>
              </w:rPr>
              <w:t>Interpretación biológica</w:t>
            </w:r>
          </w:p>
        </w:tc>
      </w:tr>
      <w:tr>
        <w:tc>
          <w:tcPr>
            <w:tcW w:type="dxa" w:w="2280"/>
          </w:tcPr>
          <w:p>
            <w:pPr>
              <w:jc w:val="center"/>
            </w:pPr>
            <w:r>
              <w:t>log_freq_detect</w:t>
            </w:r>
          </w:p>
        </w:tc>
        <w:tc>
          <w:tcPr>
            <w:tcW w:type="dxa" w:w="2280"/>
          </w:tcPr>
          <w:p>
            <w:pPr>
              <w:jc w:val="center"/>
            </w:pPr>
            <w:r>
              <w:t>2.22</w:t>
            </w:r>
          </w:p>
        </w:tc>
        <w:tc>
          <w:tcPr>
            <w:tcW w:type="dxa" w:w="2280"/>
          </w:tcPr>
          <w:p>
            <w:pPr>
              <w:jc w:val="center"/>
            </w:pPr>
            <w:r>
              <w:t>&lt; 0.001</w:t>
            </w:r>
          </w:p>
        </w:tc>
        <w:tc>
          <w:tcPr>
            <w:tcW w:type="dxa" w:w="2280"/>
          </w:tcPr>
          <w:p>
            <w:pPr>
              <w:jc w:val="center"/>
            </w:pPr>
            <w:r>
              <w:t>Doble de freq. inicial → 2.2× más rápido hacia dominancia</w:t>
            </w:r>
          </w:p>
        </w:tc>
      </w:tr>
      <w:tr>
        <w:tc>
          <w:tcPr>
            <w:tcW w:type="dxa" w:w="2280"/>
          </w:tcPr>
          <w:p>
            <w:pPr>
              <w:jc w:val="center"/>
            </w:pPr>
            <w:r>
              <w:t>log_growth_early</w:t>
            </w:r>
          </w:p>
        </w:tc>
        <w:tc>
          <w:tcPr>
            <w:tcW w:type="dxa" w:w="2280"/>
          </w:tcPr>
          <w:p>
            <w:pPr>
              <w:jc w:val="center"/>
            </w:pPr>
            <w:r>
              <w:t>1.08</w:t>
            </w:r>
          </w:p>
        </w:tc>
        <w:tc>
          <w:tcPr>
            <w:tcW w:type="dxa" w:w="2280"/>
          </w:tcPr>
          <w:p>
            <w:pPr>
              <w:jc w:val="center"/>
            </w:pPr>
            <w:r>
              <w:t>0.459 (n.s.)</w:t>
            </w:r>
          </w:p>
        </w:tc>
        <w:tc>
          <w:tcPr>
            <w:tcW w:type="dxa" w:w="2280"/>
          </w:tcPr>
          <w:p>
            <w:pPr>
              <w:jc w:val="center"/>
            </w:pPr>
            <w:r>
              <w:t>Crecimiento rápido inicial no predice tiempo de dominancia</w:t>
            </w:r>
          </w:p>
        </w:tc>
      </w:tr>
      <w:tr>
        <w:tc>
          <w:tcPr>
            <w:tcW w:type="dxa" w:w="2280"/>
          </w:tcPr>
          <w:p>
            <w:pPr>
              <w:jc w:val="center"/>
            </w:pPr>
            <w:r>
              <w:t>n_countries_detect</w:t>
            </w:r>
          </w:p>
        </w:tc>
        <w:tc>
          <w:tcPr>
            <w:tcW w:type="dxa" w:w="2280"/>
          </w:tcPr>
          <w:p>
            <w:pPr>
              <w:jc w:val="center"/>
            </w:pPr>
            <w:r>
              <w:t>1.31</w:t>
            </w:r>
          </w:p>
        </w:tc>
        <w:tc>
          <w:tcPr>
            <w:tcW w:type="dxa" w:w="2280"/>
          </w:tcPr>
          <w:p>
            <w:pPr>
              <w:jc w:val="center"/>
            </w:pPr>
            <w:r>
              <w:t>0.023</w:t>
            </w:r>
          </w:p>
        </w:tc>
        <w:tc>
          <w:tcPr>
            <w:tcW w:type="dxa" w:w="2280"/>
          </w:tcPr>
          <w:p>
            <w:pPr>
              <w:jc w:val="center"/>
            </w:pPr>
            <w:r>
              <w:t>Más países en detección → mayor velocidad de dominancia</w:t>
            </w:r>
          </w:p>
        </w:tc>
      </w:tr>
      <w:tr>
        <w:tc>
          <w:tcPr>
            <w:tcW w:type="dxa" w:w="2280"/>
          </w:tcPr>
          <w:p>
            <w:pPr>
              <w:jc w:val="center"/>
            </w:pPr>
            <w:r>
              <w:t>epoch</w:t>
            </w:r>
          </w:p>
        </w:tc>
        <w:tc>
          <w:tcPr>
            <w:tcW w:type="dxa" w:w="2280"/>
          </w:tcPr>
          <w:p>
            <w:pPr>
              <w:jc w:val="center"/>
            </w:pPr>
            <w:r>
              <w:t>0.96</w:t>
            </w:r>
          </w:p>
        </w:tc>
        <w:tc>
          <w:tcPr>
            <w:tcW w:type="dxa" w:w="2280"/>
          </w:tcPr>
          <w:p>
            <w:pPr>
              <w:jc w:val="center"/>
            </w:pPr>
            <w:r>
              <w:t>0.43 (n.s.)</w:t>
            </w:r>
          </w:p>
        </w:tc>
        <w:tc>
          <w:tcPr>
            <w:tcW w:type="dxa" w:w="2280"/>
          </w:tcPr>
          <w:p>
            <w:pPr>
              <w:jc w:val="center"/>
            </w:pPr>
            <w:r>
              <w:t>La época pandémica no afecta la velocidad de dominancia</w:t>
            </w:r>
          </w:p>
        </w:tc>
      </w:tr>
      <w:tr>
        <w:tc>
          <w:tcPr>
            <w:tcW w:type="dxa" w:w="2280"/>
          </w:tcPr>
          <w:p>
            <w:pPr>
              <w:jc w:val="center"/>
            </w:pPr>
            <w:r>
              <w:t>age_weeks_at_detect</w:t>
            </w:r>
          </w:p>
        </w:tc>
        <w:tc>
          <w:tcPr>
            <w:tcW w:type="dxa" w:w="2280"/>
          </w:tcPr>
          <w:p>
            <w:pPr>
              <w:jc w:val="center"/>
            </w:pPr>
            <w:r>
              <w:t>0.94</w:t>
            </w:r>
          </w:p>
        </w:tc>
        <w:tc>
          <w:tcPr>
            <w:tcW w:type="dxa" w:w="2280"/>
          </w:tcPr>
          <w:p>
            <w:pPr>
              <w:jc w:val="center"/>
            </w:pPr>
            <w:r>
              <w:t>0.18 (n.s.)</w:t>
            </w:r>
          </w:p>
        </w:tc>
        <w:tc>
          <w:tcPr>
            <w:tcW w:type="dxa" w:w="2280"/>
          </w:tcPr>
          <w:p>
            <w:pPr>
              <w:jc w:val="center"/>
            </w:pPr>
            <w:r>
              <w:t>La antigüedad de la variante no acelera su dominancia</w:t>
            </w:r>
          </w:p>
        </w:tc>
      </w:tr>
    </w:tbl>
    <w:p/>
    <w:p>
      <w:r>
        <w:t>Para las mutaciones Spike+NSP12 (101 eventos sobre 635 mutaciones con detección, EPV=16.7):</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Feature</w:t>
            </w:r>
          </w:p>
        </w:tc>
        <w:tc>
          <w:tcPr>
            <w:tcW w:type="dxa" w:w="2280"/>
          </w:tcPr>
          <w:p>
            <w:pPr>
              <w:jc w:val="center"/>
            </w:pPr>
            <w:r>
              <w:rPr>
                <w:b/>
              </w:rPr>
              <w:t>HR (exp(β))</w:t>
            </w:r>
          </w:p>
        </w:tc>
        <w:tc>
          <w:tcPr>
            <w:tcW w:type="dxa" w:w="2280"/>
          </w:tcPr>
          <w:p>
            <w:pPr>
              <w:jc w:val="center"/>
            </w:pPr>
            <w:r>
              <w:rPr>
                <w:b/>
              </w:rPr>
              <w:t>p-valor</w:t>
            </w:r>
          </w:p>
        </w:tc>
        <w:tc>
          <w:tcPr>
            <w:tcW w:type="dxa" w:w="2280"/>
          </w:tcPr>
          <w:p>
            <w:pPr>
              <w:jc w:val="center"/>
            </w:pPr>
            <w:r>
              <w:rPr>
                <w:b/>
              </w:rPr>
              <w:t>Interpretación biológica</w:t>
            </w:r>
          </w:p>
        </w:tc>
      </w:tr>
      <w:tr>
        <w:tc>
          <w:tcPr>
            <w:tcW w:type="dxa" w:w="2280"/>
          </w:tcPr>
          <w:p>
            <w:pPr>
              <w:jc w:val="center"/>
            </w:pPr>
            <w:r>
              <w:t>log_freq_detect</w:t>
            </w:r>
          </w:p>
        </w:tc>
        <w:tc>
          <w:tcPr>
            <w:tcW w:type="dxa" w:w="2280"/>
          </w:tcPr>
          <w:p>
            <w:pPr>
              <w:jc w:val="center"/>
            </w:pPr>
            <w:r>
              <w:t>1.89</w:t>
            </w:r>
          </w:p>
        </w:tc>
        <w:tc>
          <w:tcPr>
            <w:tcW w:type="dxa" w:w="2280"/>
          </w:tcPr>
          <w:p>
            <w:pPr>
              <w:jc w:val="center"/>
            </w:pPr>
            <w:r>
              <w:t>&lt; 0.001</w:t>
            </w:r>
          </w:p>
        </w:tc>
        <w:tc>
          <w:tcPr>
            <w:tcW w:type="dxa" w:w="2280"/>
          </w:tcPr>
          <w:p>
            <w:pPr>
              <w:jc w:val="center"/>
            </w:pPr>
            <w:r>
              <w:t>Mayor frecuencia inicial → fijación más rápida</w:t>
            </w:r>
          </w:p>
        </w:tc>
      </w:tr>
      <w:tr>
        <w:tc>
          <w:tcPr>
            <w:tcW w:type="dxa" w:w="2280"/>
          </w:tcPr>
          <w:p>
            <w:pPr>
              <w:jc w:val="center"/>
            </w:pPr>
            <w:r>
              <w:t>n_families</w:t>
            </w:r>
          </w:p>
        </w:tc>
        <w:tc>
          <w:tcPr>
            <w:tcW w:type="dxa" w:w="2280"/>
          </w:tcPr>
          <w:p>
            <w:pPr>
              <w:jc w:val="center"/>
            </w:pPr>
            <w:r>
              <w:t>1.28</w:t>
            </w:r>
          </w:p>
        </w:tc>
        <w:tc>
          <w:tcPr>
            <w:tcW w:type="dxa" w:w="2280"/>
          </w:tcPr>
          <w:p>
            <w:pPr>
              <w:jc w:val="center"/>
            </w:pPr>
            <w:r>
              <w:t>&lt; 0.001</w:t>
            </w:r>
          </w:p>
        </w:tc>
        <w:tc>
          <w:tcPr>
            <w:tcW w:type="dxa" w:w="2280"/>
          </w:tcPr>
          <w:p>
            <w:pPr>
              <w:jc w:val="center"/>
            </w:pPr>
            <w:r>
              <w:t>Cada linaje adicional con la mutación → 28% más rápida fijación</w:t>
            </w:r>
          </w:p>
        </w:tc>
      </w:tr>
      <w:tr>
        <w:tc>
          <w:tcPr>
            <w:tcW w:type="dxa" w:w="2280"/>
          </w:tcPr>
          <w:p>
            <w:pPr>
              <w:jc w:val="center"/>
            </w:pPr>
            <w:r>
              <w:t>is_rbd</w:t>
            </w:r>
          </w:p>
        </w:tc>
        <w:tc>
          <w:tcPr>
            <w:tcW w:type="dxa" w:w="2280"/>
          </w:tcPr>
          <w:p>
            <w:pPr>
              <w:jc w:val="center"/>
            </w:pPr>
            <w:r>
              <w:t>1.92</w:t>
            </w:r>
          </w:p>
        </w:tc>
        <w:tc>
          <w:tcPr>
            <w:tcW w:type="dxa" w:w="2280"/>
          </w:tcPr>
          <w:p>
            <w:pPr>
              <w:jc w:val="center"/>
            </w:pPr>
            <w:r>
              <w:t>&lt; 0.001</w:t>
            </w:r>
          </w:p>
        </w:tc>
        <w:tc>
          <w:tcPr>
            <w:tcW w:type="dxa" w:w="2280"/>
          </w:tcPr>
          <w:p>
            <w:pPr>
              <w:jc w:val="center"/>
            </w:pPr>
            <w:r>
              <w:t>Mutaciones RBD se fijan el doble de rápido que las no-RBD</w:t>
            </w:r>
          </w:p>
        </w:tc>
      </w:tr>
      <w:tr>
        <w:tc>
          <w:tcPr>
            <w:tcW w:type="dxa" w:w="2280"/>
          </w:tcPr>
          <w:p>
            <w:pPr>
              <w:jc w:val="center"/>
            </w:pPr>
            <w:r>
              <w:t>is_spike</w:t>
            </w:r>
          </w:p>
        </w:tc>
        <w:tc>
          <w:tcPr>
            <w:tcW w:type="dxa" w:w="2280"/>
          </w:tcPr>
          <w:p>
            <w:pPr>
              <w:jc w:val="center"/>
            </w:pPr>
            <w:r>
              <w:t>1.87</w:t>
            </w:r>
          </w:p>
        </w:tc>
        <w:tc>
          <w:tcPr>
            <w:tcW w:type="dxa" w:w="2280"/>
          </w:tcPr>
          <w:p>
            <w:pPr>
              <w:jc w:val="center"/>
            </w:pPr>
            <w:r>
              <w:t>0.012</w:t>
            </w:r>
          </w:p>
        </w:tc>
        <w:tc>
          <w:tcPr>
            <w:tcW w:type="dxa" w:w="2280"/>
          </w:tcPr>
          <w:p>
            <w:pPr>
              <w:jc w:val="center"/>
            </w:pPr>
            <w:r>
              <w:t>Mutaciones Spike se fijan más rápido que NSP12</w:t>
            </w:r>
          </w:p>
        </w:tc>
      </w:tr>
      <w:tr>
        <w:tc>
          <w:tcPr>
            <w:tcW w:type="dxa" w:w="2280"/>
          </w:tcPr>
          <w:p>
            <w:pPr>
              <w:jc w:val="center"/>
            </w:pPr>
            <w:r>
              <w:t>log_growth_early</w:t>
            </w:r>
          </w:p>
        </w:tc>
        <w:tc>
          <w:tcPr>
            <w:tcW w:type="dxa" w:w="2280"/>
          </w:tcPr>
          <w:p>
            <w:pPr>
              <w:jc w:val="center"/>
            </w:pPr>
            <w:r>
              <w:t>0.929</w:t>
            </w:r>
          </w:p>
        </w:tc>
        <w:tc>
          <w:tcPr>
            <w:tcW w:type="dxa" w:w="2280"/>
          </w:tcPr>
          <w:p>
            <w:pPr>
              <w:jc w:val="center"/>
            </w:pPr>
            <w:r>
              <w:t>0.045</w:t>
            </w:r>
          </w:p>
        </w:tc>
        <w:tc>
          <w:tcPr>
            <w:tcW w:type="dxa" w:w="2280"/>
          </w:tcPr>
          <w:p>
            <w:pPr>
              <w:jc w:val="center"/>
            </w:pPr>
            <w:r>
              <w:t>HR &lt; 1: crecimiento explosivo inicial puede indicar hitchhiking</w:t>
            </w:r>
          </w:p>
        </w:tc>
      </w:tr>
      <w:tr>
        <w:tc>
          <w:tcPr>
            <w:tcW w:type="dxa" w:w="2280"/>
          </w:tcPr>
          <w:p>
            <w:pPr>
              <w:jc w:val="center"/>
            </w:pPr>
            <w:r>
              <w:t>n_countries_detect</w:t>
            </w:r>
          </w:p>
        </w:tc>
        <w:tc>
          <w:tcPr>
            <w:tcW w:type="dxa" w:w="2280"/>
          </w:tcPr>
          <w:p>
            <w:pPr>
              <w:jc w:val="center"/>
            </w:pPr>
            <w:r>
              <w:t>1.21</w:t>
            </w:r>
          </w:p>
        </w:tc>
        <w:tc>
          <w:tcPr>
            <w:tcW w:type="dxa" w:w="2280"/>
          </w:tcPr>
          <w:p>
            <w:pPr>
              <w:jc w:val="center"/>
            </w:pPr>
            <w:r>
              <w:t>0.031</w:t>
            </w:r>
          </w:p>
        </w:tc>
        <w:tc>
          <w:tcPr>
            <w:tcW w:type="dxa" w:w="2280"/>
          </w:tcPr>
          <w:p>
            <w:pPr>
              <w:jc w:val="center"/>
            </w:pPr>
            <w:r>
              <w:t>Distribución geográfica amplia acelera la fijación</w:t>
            </w:r>
          </w:p>
        </w:tc>
      </w:tr>
    </w:tbl>
    <w:p/>
    <w:p>
      <w:r>
        <w:t>El C-índice del modelo de familias es 0.658 y del modelo de mutaciones es 0.685 (ambos in-sample, sin holdout). El C-índice se interpreta como: "En el X% de los pares de (familia A, familia B) donde A dominó antes que B, el modelo asigna mayor riesgo a A". Un C=0.5 corresponde a predicción aleatoria y C=1.0 a predicción perfecta. Los valores obtenidos (0.658-0.685)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r>
        <w:t>Limitación: el modelo de familias tiene EPV=7.7 (Events Per Variable), ligeramente por debajo del umbral clásico de EPV=10. Los coeficientes son estables bajo la penalización L2 aplicada, pero sus intervalos de confianza son amplios. El C-índice y los HRs deben considerarse estimaciones orientativas, no precisas. El modelo de mutaciones (EPV=16.7) tiene mayor solidez estadística y sus HRs son más fiables.</w:t>
      </w:r>
    </w:p>
    <w:p>
      <w:r>
        <w:t>El HR negativo de log_growth_early para mutaciones (HR=0.929, p=0.045) tiene una interpretación biológica rica: las mutaciones con crecimiento inicial más explosivo tienen menor probabilidad de fijarse a largo plazo. La explicación es el fenómeno de hitchhiking: muchas mutaciones crecen rápido porque están ligadas físicamente en el genoma a una variante dominante transitoria. Cuando esa variante es desplazada, la mutación desaparece con ella. Las mutaciones que se fijan de forma duradera son las que emergen en múltiples contextos genéticos independientes (señal de n_families alto), no las que hacen un sprint inicial.</w:t>
      </w:r>
    </w:p>
    <w:p>
      <w:r>
        <w:br w:type="page"/>
      </w:r>
    </w:p>
    <w:p>
      <w:pPr>
        <w:pStyle w:val="Heading2"/>
      </w:pPr>
      <w:r>
        <w:rPr>
          <w:color w:val="2E74B5"/>
        </w:rPr>
        <w:t>6.4. Sistema de alerta combinado y ranking de vigilancia (Módulo 4.4)</w:t>
      </w:r>
    </w:p>
    <w:p>
      <w:r>
        <w:t>El ranking de vigilancia activa integra las señales de los modelos M2 y M2-SPNSP30 en un Score ensemble para cada familia activa (frecuencia &gt;0.01%) en la semana de análisis. El Score combina ambas probabilidades con pesos iguales: Score = 0.5 × P(M2) + 0.5 × P(M2-SPNSP30). Los niveles de alerta son operativos sobre el ranking relativo:</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Nivel</w:t>
            </w:r>
          </w:p>
        </w:tc>
        <w:tc>
          <w:tcPr>
            <w:tcW w:type="dxa" w:w="3041"/>
          </w:tcPr>
          <w:p>
            <w:pPr>
              <w:jc w:val="center"/>
            </w:pPr>
            <w:r>
              <w:rPr>
                <w:b/>
              </w:rPr>
              <w:t>Umbral</w:t>
            </w:r>
          </w:p>
        </w:tc>
        <w:tc>
          <w:tcPr>
            <w:tcW w:type="dxa" w:w="3041"/>
          </w:tcPr>
          <w:p>
            <w:pPr>
              <w:jc w:val="center"/>
            </w:pPr>
            <w:r>
              <w:rPr>
                <w:b/>
              </w:rPr>
              <w:t>Interpretación</w:t>
            </w:r>
          </w:p>
        </w:tc>
      </w:tr>
      <w:tr>
        <w:tc>
          <w:tcPr>
            <w:tcW w:type="dxa" w:w="3041"/>
          </w:tcPr>
          <w:p>
            <w:pPr>
              <w:jc w:val="center"/>
            </w:pPr>
            <w:r>
              <w:t>HIGH</w:t>
            </w:r>
          </w:p>
        </w:tc>
        <w:tc>
          <w:tcPr>
            <w:tcW w:type="dxa" w:w="3041"/>
          </w:tcPr>
          <w:p>
            <w:pPr>
              <w:jc w:val="center"/>
            </w:pPr>
            <w:r>
              <w:t>Score ≥ 0.60</w:t>
            </w:r>
          </w:p>
        </w:tc>
        <w:tc>
          <w:tcPr>
            <w:tcW w:type="dxa" w:w="3041"/>
          </w:tcPr>
          <w:p>
            <w:pPr>
              <w:jc w:val="center"/>
            </w:pPr>
            <w:r>
              <w:t>Señal muy fuerte en ambos modelos; prioridad máxima de seguimiento</w:t>
            </w:r>
          </w:p>
        </w:tc>
      </w:tr>
      <w:tr>
        <w:tc>
          <w:tcPr>
            <w:tcW w:type="dxa" w:w="3041"/>
          </w:tcPr>
          <w:p>
            <w:pPr>
              <w:jc w:val="center"/>
            </w:pPr>
            <w:r>
              <w:t>MEDIUM</w:t>
            </w:r>
          </w:p>
        </w:tc>
        <w:tc>
          <w:tcPr>
            <w:tcW w:type="dxa" w:w="3041"/>
          </w:tcPr>
          <w:p>
            <w:pPr>
              <w:jc w:val="center"/>
            </w:pPr>
            <w:r>
              <w:t>Score ≥ 0.30</w:t>
            </w:r>
          </w:p>
        </w:tc>
        <w:tc>
          <w:tcPr>
            <w:tcW w:type="dxa" w:w="3041"/>
          </w:tcPr>
          <w:p>
            <w:pPr>
              <w:jc w:val="center"/>
            </w:pPr>
            <w:r>
              <w:t>Señal moderada; monitorizar de cerca</w:t>
            </w:r>
          </w:p>
        </w:tc>
      </w:tr>
      <w:tr>
        <w:tc>
          <w:tcPr>
            <w:tcW w:type="dxa" w:w="3041"/>
          </w:tcPr>
          <w:p>
            <w:pPr>
              <w:jc w:val="center"/>
            </w:pPr>
            <w:r>
              <w:t>WATCH</w:t>
            </w:r>
          </w:p>
        </w:tc>
        <w:tc>
          <w:tcPr>
            <w:tcW w:type="dxa" w:w="3041"/>
          </w:tcPr>
          <w:p>
            <w:pPr>
              <w:jc w:val="center"/>
            </w:pPr>
            <w:r>
              <w:t>Score &lt; 0.30</w:t>
            </w:r>
          </w:p>
        </w:tc>
        <w:tc>
          <w:tcPr>
            <w:tcW w:type="dxa" w:w="3041"/>
          </w:tcPr>
          <w:p>
            <w:pPr>
              <w:jc w:val="center"/>
            </w:pPr>
            <w:r>
              <w:t>Detección activa sin señal clara de emergencia</w:t>
            </w:r>
          </w:p>
        </w:tc>
      </w:tr>
    </w:tbl>
    <w:p/>
    <w:p>
      <w:r>
        <w:t>Resultados del ranking en la semana de referencia (2026-01-12):</w:t>
      </w:r>
    </w:p>
    <w:p>
      <w:r>
        <w:rPr>
          <w:b/>
        </w:rPr>
        <w:t>Ninguna familia alcanza nivel HIGH en enero 2026. Esto no es un fallo del sistema: es información epidemiológica relevante que indica que el ecosistema está dominado por XFG sin un challenger con señal clara. El sistema no genera falsas alarmas cuando no hay amenaza real.</w:t>
      </w:r>
    </w:p>
    <w:p>
      <w:r>
        <w:t>XFG lidera el ranking con P(M2)=0.635 y P(M2-SPNSP30)=0.347, resultando en Score=0.462 → MEDIUM. El contraste entre los dos modelos es biológicamente interpretable: M2 asigna P alta a XFG porque sus features temporales son típicas de una variante en expansión (n_countries=21, alta frecuencia global). M2-SPNSP30 lo corrige porque el perfil mutacional de XFG es el de un dominante consolidado en declive, no el de una variante emergente. El Score ensemble de 0.462 refleja correctamente esta ambigüedad: XFG está al pico de su dominancia, no emergiendo.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center"/>
            </w:pPr>
            <w:r>
              <w:rPr>
                <w:b/>
              </w:rPr>
              <w:t>Familia</w:t>
            </w:r>
          </w:p>
        </w:tc>
        <w:tc>
          <w:tcPr>
            <w:tcW w:type="dxa" w:w="1303"/>
          </w:tcPr>
          <w:p>
            <w:pPr>
              <w:jc w:val="center"/>
            </w:pPr>
            <w:r>
              <w:rPr>
                <w:b/>
              </w:rPr>
              <w:t>P(M2)</w:t>
            </w:r>
          </w:p>
        </w:tc>
        <w:tc>
          <w:tcPr>
            <w:tcW w:type="dxa" w:w="1303"/>
          </w:tcPr>
          <w:p>
            <w:pPr>
              <w:jc w:val="center"/>
            </w:pPr>
            <w:r>
              <w:rPr>
                <w:b/>
              </w:rPr>
              <w:t>P(M2-SPNSP30)</w:t>
            </w:r>
          </w:p>
        </w:tc>
        <w:tc>
          <w:tcPr>
            <w:tcW w:type="dxa" w:w="1303"/>
          </w:tcPr>
          <w:p>
            <w:pPr>
              <w:jc w:val="center"/>
            </w:pPr>
            <w:r>
              <w:rPr>
                <w:b/>
              </w:rPr>
              <w:t>Score</w:t>
            </w:r>
          </w:p>
        </w:tc>
        <w:tc>
          <w:tcPr>
            <w:tcW w:type="dxa" w:w="1303"/>
          </w:tcPr>
          <w:p>
            <w:pPr>
              <w:jc w:val="center"/>
            </w:pPr>
            <w:r>
              <w:rPr>
                <w:b/>
              </w:rPr>
              <w:t>Nivel</w:t>
            </w:r>
          </w:p>
        </w:tc>
        <w:tc>
          <w:tcPr>
            <w:tcW w:type="dxa" w:w="1303"/>
          </w:tcPr>
          <w:p>
            <w:pPr>
              <w:jc w:val="center"/>
            </w:pPr>
            <w:r>
              <w:rPr>
                <w:b/>
              </w:rPr>
              <w:t>Freq%</w:t>
            </w:r>
          </w:p>
        </w:tc>
        <w:tc>
          <w:tcPr>
            <w:tcW w:type="dxa" w:w="1303"/>
          </w:tcPr>
          <w:p>
            <w:pPr>
              <w:jc w:val="center"/>
            </w:pPr>
            <w:r>
              <w:rPr>
                <w:b/>
              </w:rPr>
              <w:t>Nota</w:t>
            </w:r>
          </w:p>
        </w:tc>
      </w:tr>
      <w:tr>
        <w:tc>
          <w:tcPr>
            <w:tcW w:type="dxa" w:w="1303"/>
          </w:tcPr>
          <w:p>
            <w:pPr>
              <w:jc w:val="center"/>
            </w:pPr>
            <w:r>
              <w:t>XFG</w:t>
            </w:r>
          </w:p>
        </w:tc>
        <w:tc>
          <w:tcPr>
            <w:tcW w:type="dxa" w:w="1303"/>
          </w:tcPr>
          <w:p>
            <w:pPr>
              <w:jc w:val="center"/>
            </w:pPr>
            <w:r>
              <w:t>0.635</w:t>
            </w:r>
          </w:p>
        </w:tc>
        <w:tc>
          <w:tcPr>
            <w:tcW w:type="dxa" w:w="1303"/>
          </w:tcPr>
          <w:p>
            <w:pPr>
              <w:jc w:val="center"/>
            </w:pPr>
            <w:r>
              <w:t>0.347</w:t>
            </w:r>
          </w:p>
        </w:tc>
        <w:tc>
          <w:tcPr>
            <w:tcW w:type="dxa" w:w="1303"/>
          </w:tcPr>
          <w:p>
            <w:pPr>
              <w:jc w:val="center"/>
            </w:pPr>
            <w:r>
              <w:t>0.462</w:t>
            </w:r>
          </w:p>
        </w:tc>
        <w:tc>
          <w:tcPr>
            <w:tcW w:type="dxa" w:w="1303"/>
          </w:tcPr>
          <w:p>
            <w:pPr>
              <w:jc w:val="center"/>
            </w:pPr>
            <w:r>
              <w:t>MEDIUM</w:t>
            </w:r>
          </w:p>
        </w:tc>
        <w:tc>
          <w:tcPr>
            <w:tcW w:type="dxa" w:w="1303"/>
          </w:tcPr>
          <w:p>
            <w:pPr>
              <w:jc w:val="center"/>
            </w:pPr>
            <w:r>
              <w:t>62.5%</w:t>
            </w:r>
          </w:p>
        </w:tc>
        <w:tc>
          <w:tcPr>
            <w:tcW w:type="dxa" w:w="1303"/>
          </w:tcPr>
          <w:p>
            <w:pPr>
              <w:jc w:val="center"/>
            </w:pPr>
            <w:r>
              <w:t>Pico; log_growth_8w=−0.10</w:t>
            </w:r>
          </w:p>
        </w:tc>
      </w:tr>
      <w:tr>
        <w:tc>
          <w:tcPr>
            <w:tcW w:type="dxa" w:w="1303"/>
          </w:tcPr>
          <w:p>
            <w:pPr>
              <w:jc w:val="center"/>
            </w:pPr>
            <w:r>
              <w:t>NB</w:t>
            </w:r>
          </w:p>
        </w:tc>
        <w:tc>
          <w:tcPr>
            <w:tcW w:type="dxa" w:w="1303"/>
          </w:tcPr>
          <w:p>
            <w:pPr>
              <w:jc w:val="center"/>
            </w:pPr>
            <w:r>
              <w:t>0.469</w:t>
            </w:r>
          </w:p>
        </w:tc>
        <w:tc>
          <w:tcPr>
            <w:tcW w:type="dxa" w:w="1303"/>
          </w:tcPr>
          <w:p>
            <w:pPr>
              <w:jc w:val="center"/>
            </w:pPr>
            <w:r>
              <w:t>0.308</w:t>
            </w:r>
          </w:p>
        </w:tc>
        <w:tc>
          <w:tcPr>
            <w:tcW w:type="dxa" w:w="1303"/>
          </w:tcPr>
          <w:p>
            <w:pPr>
              <w:jc w:val="center"/>
            </w:pPr>
            <w:r>
              <w:t>0.389</w:t>
            </w:r>
          </w:p>
        </w:tc>
        <w:tc>
          <w:tcPr>
            <w:tcW w:type="dxa" w:w="1303"/>
          </w:tcPr>
          <w:p>
            <w:pPr>
              <w:jc w:val="center"/>
            </w:pPr>
            <w:r>
              <w:t>MEDIUM</w:t>
            </w:r>
          </w:p>
        </w:tc>
        <w:tc>
          <w:tcPr>
            <w:tcW w:type="dxa" w:w="1303"/>
          </w:tcPr>
          <w:p>
            <w:pPr>
              <w:jc w:val="center"/>
            </w:pPr>
            <w:r>
              <w:t>9.7%</w:t>
            </w:r>
          </w:p>
        </w:tc>
        <w:tc>
          <w:tcPr>
            <w:tcW w:type="dxa" w:w="1303"/>
          </w:tcPr>
          <w:p>
            <w:pPr>
              <w:jc w:val="center"/>
            </w:pPr>
            <w:r>
              <w:t>Challenger principal</w:t>
            </w:r>
          </w:p>
        </w:tc>
      </w:tr>
      <w:tr>
        <w:tc>
          <w:tcPr>
            <w:tcW w:type="dxa" w:w="1303"/>
          </w:tcPr>
          <w:p>
            <w:pPr>
              <w:jc w:val="center"/>
            </w:pPr>
            <w:r>
              <w:t>PQ</w:t>
            </w:r>
          </w:p>
        </w:tc>
        <w:tc>
          <w:tcPr>
            <w:tcW w:type="dxa" w:w="1303"/>
          </w:tcPr>
          <w:p>
            <w:pPr>
              <w:jc w:val="center"/>
            </w:pPr>
            <w:r>
              <w:t>0.469</w:t>
            </w:r>
          </w:p>
        </w:tc>
        <w:tc>
          <w:tcPr>
            <w:tcW w:type="dxa" w:w="1303"/>
          </w:tcPr>
          <w:p>
            <w:pPr>
              <w:jc w:val="center"/>
            </w:pPr>
            <w:r>
              <w:t>0.308</w:t>
            </w:r>
          </w:p>
        </w:tc>
        <w:tc>
          <w:tcPr>
            <w:tcW w:type="dxa" w:w="1303"/>
          </w:tcPr>
          <w:p>
            <w:pPr>
              <w:jc w:val="center"/>
            </w:pPr>
            <w:r>
              <w:t>0.389</w:t>
            </w:r>
          </w:p>
        </w:tc>
        <w:tc>
          <w:tcPr>
            <w:tcW w:type="dxa" w:w="1303"/>
          </w:tcPr>
          <w:p>
            <w:pPr>
              <w:jc w:val="center"/>
            </w:pPr>
            <w:r>
              <w:t>MEDIUM</w:t>
            </w:r>
          </w:p>
        </w:tc>
        <w:tc>
          <w:tcPr>
            <w:tcW w:type="dxa" w:w="1303"/>
          </w:tcPr>
          <w:p>
            <w:pPr>
              <w:jc w:val="center"/>
            </w:pPr>
            <w:r>
              <w:t>11.9%</w:t>
            </w:r>
          </w:p>
        </w:tc>
        <w:tc>
          <w:tcPr>
            <w:tcW w:type="dxa" w:w="1303"/>
          </w:tcPr>
          <w:p>
            <w:pPr>
              <w:jc w:val="center"/>
            </w:pPr>
            <w:r>
              <w:t>Challenger emergente</w:t>
            </w:r>
          </w:p>
        </w:tc>
      </w:tr>
      <w:tr>
        <w:tc>
          <w:tcPr>
            <w:tcW w:type="dxa" w:w="1303"/>
          </w:tcPr>
          <w:p>
            <w:pPr>
              <w:jc w:val="center"/>
            </w:pPr>
            <w:r>
              <w:t>XFC</w:t>
            </w:r>
          </w:p>
        </w:tc>
        <w:tc>
          <w:tcPr>
            <w:tcW w:type="dxa" w:w="1303"/>
          </w:tcPr>
          <w:p>
            <w:pPr>
              <w:jc w:val="center"/>
            </w:pPr>
            <w:r>
              <w:t>0.506</w:t>
            </w:r>
          </w:p>
        </w:tc>
        <w:tc>
          <w:tcPr>
            <w:tcW w:type="dxa" w:w="1303"/>
          </w:tcPr>
          <w:p>
            <w:pPr>
              <w:jc w:val="center"/>
            </w:pPr>
            <w:r>
              <w:t>0.268</w:t>
            </w:r>
          </w:p>
        </w:tc>
        <w:tc>
          <w:tcPr>
            <w:tcW w:type="dxa" w:w="1303"/>
          </w:tcPr>
          <w:p>
            <w:pPr>
              <w:jc w:val="center"/>
            </w:pPr>
            <w:r>
              <w:t>0.387</w:t>
            </w:r>
          </w:p>
        </w:tc>
        <w:tc>
          <w:tcPr>
            <w:tcW w:type="dxa" w:w="1303"/>
          </w:tcPr>
          <w:p>
            <w:pPr>
              <w:jc w:val="center"/>
            </w:pPr>
            <w:r>
              <w:t>MEDIUM</w:t>
            </w:r>
          </w:p>
        </w:tc>
        <w:tc>
          <w:tcPr>
            <w:tcW w:type="dxa" w:w="1303"/>
          </w:tcPr>
          <w:p>
            <w:pPr>
              <w:jc w:val="center"/>
            </w:pPr>
            <w:r>
              <w:t>3.3%</w:t>
            </w:r>
          </w:p>
        </w:tc>
        <w:tc>
          <w:tcPr>
            <w:tcW w:type="dxa" w:w="1303"/>
          </w:tcPr>
          <w:p>
            <w:pPr>
              <w:jc w:val="center"/>
            </w:pPr>
            <w:r>
              <w:t>Expansión geográfica</w:t>
            </w:r>
          </w:p>
        </w:tc>
      </w:tr>
      <w:tr>
        <w:tc>
          <w:tcPr>
            <w:tcW w:type="dxa" w:w="1303"/>
          </w:tcPr>
          <w:p>
            <w:pPr>
              <w:jc w:val="center"/>
            </w:pPr>
            <w:r>
              <w:t>JN</w:t>
            </w:r>
          </w:p>
        </w:tc>
        <w:tc>
          <w:tcPr>
            <w:tcW w:type="dxa" w:w="1303"/>
          </w:tcPr>
          <w:p>
            <w:pPr>
              <w:jc w:val="center"/>
            </w:pPr>
            <w:r>
              <w:t>0.475</w:t>
            </w:r>
          </w:p>
        </w:tc>
        <w:tc>
          <w:tcPr>
            <w:tcW w:type="dxa" w:w="1303"/>
          </w:tcPr>
          <w:p>
            <w:pPr>
              <w:jc w:val="center"/>
            </w:pPr>
            <w:r>
              <w:t>0.285</w:t>
            </w:r>
          </w:p>
        </w:tc>
        <w:tc>
          <w:tcPr>
            <w:tcW w:type="dxa" w:w="1303"/>
          </w:tcPr>
          <w:p>
            <w:pPr>
              <w:jc w:val="center"/>
            </w:pPr>
            <w:r>
              <w:t>0.380</w:t>
            </w:r>
          </w:p>
        </w:tc>
        <w:tc>
          <w:tcPr>
            <w:tcW w:type="dxa" w:w="1303"/>
          </w:tcPr>
          <w:p>
            <w:pPr>
              <w:jc w:val="center"/>
            </w:pPr>
            <w:r>
              <w:t>MEDIUM</w:t>
            </w:r>
          </w:p>
        </w:tc>
        <w:tc>
          <w:tcPr>
            <w:tcW w:type="dxa" w:w="1303"/>
          </w:tcPr>
          <w:p>
            <w:pPr>
              <w:jc w:val="center"/>
            </w:pPr>
            <w:r>
              <w:t>0.9%</w:t>
            </w:r>
          </w:p>
        </w:tc>
        <w:tc>
          <w:tcPr>
            <w:tcW w:type="dxa" w:w="1303"/>
          </w:tcPr>
          <w:p>
            <w:pPr>
              <w:jc w:val="center"/>
            </w:pPr>
            <w:r>
              <w:t>Antepasado de XFG</w:t>
            </w:r>
          </w:p>
        </w:tc>
      </w:tr>
      <w:tr>
        <w:tc>
          <w:tcPr>
            <w:tcW w:type="dxa" w:w="1303"/>
          </w:tcPr>
          <w:p>
            <w:pPr>
              <w:jc w:val="center"/>
            </w:pPr>
            <w:r>
              <w:t>QK</w:t>
            </w:r>
          </w:p>
        </w:tc>
        <w:tc>
          <w:tcPr>
            <w:tcW w:type="dxa" w:w="1303"/>
          </w:tcPr>
          <w:p>
            <w:pPr>
              <w:jc w:val="center"/>
            </w:pPr>
            <w:r>
              <w:t>0.466</w:t>
            </w:r>
          </w:p>
        </w:tc>
        <w:tc>
          <w:tcPr>
            <w:tcW w:type="dxa" w:w="1303"/>
          </w:tcPr>
          <w:p>
            <w:pPr>
              <w:jc w:val="center"/>
            </w:pPr>
            <w:r>
              <w:t>0.254</w:t>
            </w:r>
          </w:p>
        </w:tc>
        <w:tc>
          <w:tcPr>
            <w:tcW w:type="dxa" w:w="1303"/>
          </w:tcPr>
          <w:p>
            <w:pPr>
              <w:jc w:val="center"/>
            </w:pPr>
            <w:r>
              <w:t>0.360</w:t>
            </w:r>
          </w:p>
        </w:tc>
        <w:tc>
          <w:tcPr>
            <w:tcW w:type="dxa" w:w="1303"/>
          </w:tcPr>
          <w:p>
            <w:pPr>
              <w:jc w:val="center"/>
            </w:pPr>
            <w:r>
              <w:t>MEDIUM</w:t>
            </w:r>
          </w:p>
        </w:tc>
        <w:tc>
          <w:tcPr>
            <w:tcW w:type="dxa" w:w="1303"/>
          </w:tcPr>
          <w:p>
            <w:pPr>
              <w:jc w:val="center"/>
            </w:pPr>
            <w:r>
              <w:t>1.2%</w:t>
            </w:r>
          </w:p>
        </w:tc>
        <w:tc>
          <w:tcPr>
            <w:tcW w:type="dxa" w:w="1303"/>
          </w:tcPr>
          <w:p>
            <w:pPr>
              <w:jc w:val="center"/>
            </w:pPr>
            <w:r>
              <w:t>Residual</w:t>
            </w:r>
          </w:p>
        </w:tc>
      </w:tr>
      <w:tr>
        <w:tc>
          <w:tcPr>
            <w:tcW w:type="dxa" w:w="1303"/>
          </w:tcPr>
          <w:p>
            <w:pPr>
              <w:jc w:val="center"/>
            </w:pPr>
            <w:r>
              <w:t>XDV</w:t>
            </w:r>
          </w:p>
        </w:tc>
        <w:tc>
          <w:tcPr>
            <w:tcW w:type="dxa" w:w="1303"/>
          </w:tcPr>
          <w:p>
            <w:pPr>
              <w:jc w:val="center"/>
            </w:pPr>
            <w:r>
              <w:t>0.430</w:t>
            </w:r>
          </w:p>
        </w:tc>
        <w:tc>
          <w:tcPr>
            <w:tcW w:type="dxa" w:w="1303"/>
          </w:tcPr>
          <w:p>
            <w:pPr>
              <w:jc w:val="center"/>
            </w:pPr>
            <w:r>
              <w:t>0.237</w:t>
            </w:r>
          </w:p>
        </w:tc>
        <w:tc>
          <w:tcPr>
            <w:tcW w:type="dxa" w:w="1303"/>
          </w:tcPr>
          <w:p>
            <w:pPr>
              <w:jc w:val="center"/>
            </w:pPr>
            <w:r>
              <w:t>0.334</w:t>
            </w:r>
          </w:p>
        </w:tc>
        <w:tc>
          <w:tcPr>
            <w:tcW w:type="dxa" w:w="1303"/>
          </w:tcPr>
          <w:p>
            <w:pPr>
              <w:jc w:val="center"/>
            </w:pPr>
            <w:r>
              <w:t>MEDIUM</w:t>
            </w:r>
          </w:p>
        </w:tc>
        <w:tc>
          <w:tcPr>
            <w:tcW w:type="dxa" w:w="1303"/>
          </w:tcPr>
          <w:p>
            <w:pPr>
              <w:jc w:val="center"/>
            </w:pPr>
            <w:r>
              <w:t>1.7%</w:t>
            </w:r>
          </w:p>
        </w:tc>
        <w:tc>
          <w:tcPr>
            <w:tcW w:type="dxa" w:w="1303"/>
          </w:tcPr>
          <w:p>
            <w:pPr>
              <w:jc w:val="center"/>
            </w:pPr>
            <w:r>
              <w:t>Señal moderada</w:t>
            </w:r>
          </w:p>
        </w:tc>
      </w:tr>
    </w:tbl>
    <w:p/>
    <w:p>
      <w:r>
        <w:t>A nivel de mutación, 88 mutaciones de Spike/NSP12 alcanzan nivel HIGH (P ≥ 0.60), con frecuencias globales del 67-95%. Estas mutaciones representan el inventario definitorario de XFG y sus antecesores (JN.1 → KP → XFG), no alertas de emergencia. Las mutaciones funcionales más relevantes entre ellas son Spike_P681R (94.0%, furina), Spike_R158G (91.4%, escape NTD), Spike_F486P (89.9%, escape RBD clase 2), y Spike_R346T (67.9%, escape RBD clase 3). Para detección de amenazas emergentes, el filtro operativo es freq_t0 &lt; 10% con Score alto, perfil que en enero 2026 no presenta ningún candidato claro.</w:t>
      </w:r>
    </w:p>
    <w:p>
      <w:pPr>
        <w:pStyle w:val="Heading2"/>
      </w:pPr>
      <w:r>
        <w:rPr>
          <w:color w:val="2E74B5"/>
        </w:rPr>
        <w:t>6.5. Replicador log-lineal con modulación ML (Módulo 7.1)</w:t>
      </w:r>
    </w:p>
    <w:p>
      <w:pPr>
        <w:pStyle w:val="Heading3"/>
      </w:pPr>
      <w:r>
        <w:t>6.5.1. Diseño del replicador</w:t>
      </w:r>
    </w:p>
    <w:p>
      <w:r>
        <w:t>El replicador log-lineal proyecta la frecuencia futura de cada familia asumiendo que la tasa de crecimiento log-lineal observada en las últimas 8 semanas se mantiene, con renormalización semanal para que las frecuencias sumen 1. Este baseline empírico tiene el problema de que trata igual a todas las variantes con la misma pendiente observada, independientemente de si tienen potencial de emergencia o no.</w:t>
      </w:r>
    </w:p>
    <w:p>
      <w:r>
        <w:t>La integración de LightGBM en el replicador se realiza modulando la tasa de crecimiento empírica s_emp de cada variante en ascenso (s_emp &gt; 0) por un peso w que depende de la posición relativa de esa variante en el ranking de LightGBM:</w:t>
      </w:r>
    </w:p>
    <w:p>
      <w:r>
        <w:rPr>
          <w:b/>
        </w:rPr>
        <w:t>s_adj = s_emp × w(P_rel)</w:t>
      </w:r>
    </w:p>
    <w:p>
      <w:r>
        <w:rPr>
          <w:b/>
        </w:rPr>
        <w:t>w(P_rel) = W_MIN + (1 − W_MIN) × P_rel,    con W_MIN = 0.25</w:t>
      </w:r>
    </w:p>
    <w:p>
      <w:r>
        <w:rPr>
          <w:b/>
        </w:rPr>
        <w:t>P_rel = (P(emergencia) − min(P_rising)) / (max(P_rising) − min(P_rising))</w:t>
      </w:r>
    </w:p>
    <w:p>
      <w:r>
        <w:t>donde P_rising es el conjunto de probabilidades de emergencia de todas las familias actualmente en ascenso (s_emp &gt; 0). El reescalado min-max dentro de este subconjunto (P_rel) es la decisión de diseño más importante del sistema: las probabilidades brutas de LightGBM no están calibradas (se concentran en 0.30-0.49 por el scale_pos_weight), pero el AUC valida el ranking relativo. P_rel usa precisamente lo que LightGBM hace bien (ordenar los challengers) y evita lo que hace mal (probabilidades absolutas calibradas).</w:t>
      </w:r>
    </w:p>
    <w:p>
      <w:r>
        <w:t>El peso w(P_rel) varía en el rango [W_MIN=0.25, 1.0]: la variante con la P_rel más alta mantiene su tasa empírica intacta (w=1.0), mientras que la variante con la P_rel más baja tiene su tasa reducida al 25% (w=0.25). Las variantes en declive (s_emp ≤ 0) se dejan inalteradas: el ML no modula las caídas, solo las subidas.</w:t>
      </w:r>
    </w:p>
    <w:p>
      <w:pPr>
        <w:pStyle w:val="Heading3"/>
      </w:pPr>
      <w:r>
        <w:t>6.5.2. Señal Cox como anotación de velocidad relativa</w:t>
      </w:r>
    </w:p>
    <w:p>
      <w:r>
        <w:t>El modelo Cox PH contribuye al sistema de proyección como una anotación complementaria de velocidad de dominancia, no como modificador de la proyección de frecuencias. Para cada challenger activo, se calcula:</w:t>
      </w:r>
    </w:p>
    <w:p>
      <w:pPr>
        <w:pStyle w:val="ListBullet"/>
      </w:pPr>
      <w:r>
        <w:t>Hazard relativo (predict_partial_hazard): siempre finito, indica la velocidad relativa hacia la dominancia respecto a la media histórica. Se muestra como "Cox×" en la tabla de challengers.</w:t>
      </w:r>
    </w:p>
    <w:p>
      <w:pPr>
        <w:pStyle w:val="ListBullet"/>
      </w:pPr>
      <w:r>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r>
        <w:t>La función predict_partial_hazard de lifelines es siempre finita porque solo evalúa la parte exponencial del modelo Cox (exp(βX)), mientras que predict_median requiere que la función de supervivencia estimada cruce el 0.5, lo que no ocurre para variantes con baja tasa de eventos histórica. La corrección de dir() por globals() en la implementación fue necesaria porque dir() dentro de una función solo ve las variables locales, no las del kernel de Jupyter.</w:t>
      </w:r>
    </w:p>
    <w:p>
      <w:pPr>
        <w:pStyle w:val="Heading3"/>
      </w:pPr>
      <w:r>
        <w:t>6.5.3. Resultados de la proyección (semana 2026-02-09)</w:t>
      </w:r>
    </w:p>
    <w:p>
      <w:r>
        <w:t>Las proyecciones a 16 semanas (hasta junio 2026) desde el corte de datos (2026-02-09) muestran dos escenarios: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Horizonte</w:t>
            </w:r>
          </w:p>
        </w:tc>
        <w:tc>
          <w:tcPr>
            <w:tcW w:type="dxa" w:w="3041"/>
          </w:tcPr>
          <w:p>
            <w:pPr>
              <w:jc w:val="center"/>
            </w:pPr>
            <w:r>
              <w:rPr>
                <w:b/>
              </w:rPr>
              <w:t>Proyección ML-ajustada</w:t>
            </w:r>
          </w:p>
        </w:tc>
        <w:tc>
          <w:tcPr>
            <w:tcW w:type="dxa" w:w="3041"/>
          </w:tcPr>
          <w:p>
            <w:pPr>
              <w:jc w:val="center"/>
            </w:pPr>
            <w:r>
              <w:rPr>
                <w:b/>
              </w:rPr>
              <w:t>Proyección empírica baseline</w:t>
            </w:r>
          </w:p>
        </w:tc>
      </w:tr>
      <w:tr>
        <w:tc>
          <w:tcPr>
            <w:tcW w:type="dxa" w:w="3041"/>
          </w:tcPr>
          <w:p>
            <w:pPr>
              <w:jc w:val="center"/>
            </w:pPr>
            <w:r>
              <w:t>+2 sem (Feb 2026)</w:t>
            </w:r>
          </w:p>
        </w:tc>
        <w:tc>
          <w:tcPr>
            <w:tcW w:type="dxa" w:w="3041"/>
          </w:tcPr>
          <w:p>
            <w:pPr>
              <w:jc w:val="center"/>
            </w:pPr>
            <w:r>
              <w:t>XFG ~41%, NB 11%, PQ 10%</w:t>
            </w:r>
          </w:p>
        </w:tc>
        <w:tc>
          <w:tcPr>
            <w:tcW w:type="dxa" w:w="3041"/>
          </w:tcPr>
          <w:p>
            <w:pPr>
              <w:jc w:val="center"/>
            </w:pPr>
            <w:r>
              <w:t>XFG ~42%, PY 18%, NB 9%</w:t>
            </w:r>
          </w:p>
        </w:tc>
      </w:tr>
      <w:tr>
        <w:tc>
          <w:tcPr>
            <w:tcW w:type="dxa" w:w="3041"/>
          </w:tcPr>
          <w:p>
            <w:pPr>
              <w:jc w:val="center"/>
            </w:pPr>
            <w:r>
              <w:t>+4 sem (Mar 2026)</w:t>
            </w:r>
          </w:p>
        </w:tc>
        <w:tc>
          <w:tcPr>
            <w:tcW w:type="dxa" w:w="3041"/>
          </w:tcPr>
          <w:p>
            <w:pPr>
              <w:jc w:val="center"/>
            </w:pPr>
            <w:r>
              <w:t>NB toma el relevo (~32%); XFG 34%</w:t>
            </w:r>
          </w:p>
        </w:tc>
        <w:tc>
          <w:tcPr>
            <w:tcW w:type="dxa" w:w="3041"/>
          </w:tcPr>
          <w:p>
            <w:pPr>
              <w:jc w:val="center"/>
            </w:pPr>
            <w:r>
              <w:t>PY ~35% (runaway espurio); XFG 28%</w:t>
            </w:r>
          </w:p>
        </w:tc>
      </w:tr>
      <w:tr>
        <w:tc>
          <w:tcPr>
            <w:tcW w:type="dxa" w:w="3041"/>
          </w:tcPr>
          <w:p>
            <w:pPr>
              <w:jc w:val="center"/>
            </w:pPr>
            <w:r>
              <w:t>+8 sem (Abr 2026)</w:t>
            </w:r>
          </w:p>
        </w:tc>
        <w:tc>
          <w:tcPr>
            <w:tcW w:type="dxa" w:w="3041"/>
          </w:tcPr>
          <w:p>
            <w:pPr>
              <w:jc w:val="center"/>
            </w:pPr>
            <w:r>
              <w:t>NB consolida (~36%); XFG 20%</w:t>
            </w:r>
          </w:p>
        </w:tc>
        <w:tc>
          <w:tcPr>
            <w:tcW w:type="dxa" w:w="3041"/>
          </w:tcPr>
          <w:p>
            <w:pPr>
              <w:jc w:val="center"/>
            </w:pPr>
            <w:r>
              <w:t>PY dominante (&gt;55%) — falso</w:t>
            </w:r>
          </w:p>
        </w:tc>
      </w:tr>
      <w:tr>
        <w:tc>
          <w:tcPr>
            <w:tcW w:type="dxa" w:w="3041"/>
          </w:tcPr>
          <w:p>
            <w:pPr>
              <w:jc w:val="center"/>
            </w:pPr>
            <w:r>
              <w:t>+16 sem (Jun 2026)</w:t>
            </w:r>
          </w:p>
        </w:tc>
        <w:tc>
          <w:tcPr>
            <w:tcW w:type="dxa" w:w="3041"/>
          </w:tcPr>
          <w:p>
            <w:pPr>
              <w:jc w:val="center"/>
            </w:pPr>
            <w:r>
              <w:t>NB/PY co-dominantes (~36%/34%)</w:t>
            </w:r>
          </w:p>
        </w:tc>
        <w:tc>
          <w:tcPr>
            <w:tcW w:type="dxa" w:w="3041"/>
          </w:tcPr>
          <w:p>
            <w:pPr>
              <w:jc w:val="center"/>
            </w:pPr>
            <w:r>
              <w:t>PY &gt;80% — claramente falso</w:t>
            </w:r>
          </w:p>
        </w:tc>
      </w:tr>
    </w:tbl>
    <w:p/>
    <w:p>
      <w:r>
        <w:t>La tabla de challengers generada por el sistema muestra para cada familia en ascenso: la tasa empírica (s_emp), la tasa ajustada por ML (s_ML), la P(M2) de LightGBM, el delta porcentual (reducción de tasa) y el hazard relativo de Cox. La modulación más notable en la proyección de enero 2026 es sobre PY: con P(M2) baja en el ranking relativo, su s_emp moderado se reduce al 25% de su valor, eliminando su proyección como futuro dominante que generaba el baseline empírico. NB, con mayor P(M2) relativa, mantiene su tasa en un valor cercano al empírico.</w:t>
      </w:r>
    </w:p>
    <w:p>
      <w:r>
        <w:br w:type="page"/>
      </w:r>
    </w:p>
    <w:p>
      <w:pPr>
        <w:pStyle w:val="Heading1"/>
      </w:pPr>
      <w:r>
        <w:rPr>
          <w:color w:val="1F497D"/>
        </w:rPr>
        <w:t>7. Validación</w:t>
      </w:r>
    </w:p>
    <w:p>
      <w:pPr>
        <w:pStyle w:val="Heading2"/>
      </w:pPr>
      <w:r>
        <w:rPr>
          <w:color w:val="2E74B5"/>
        </w:rPr>
        <w:t>7.1. Validación interna</w:t>
      </w:r>
    </w:p>
    <w:p>
      <w:r>
        <w:t>La validación interna se realizó con múltiples esquemas complementarios para garantizar la robustez de los resultados frente al riesgo de sobreajuste temporal:</w:t>
      </w:r>
    </w:p>
    <w:p>
      <w:pPr>
        <w:pStyle w:val="Heading3"/>
      </w:pPr>
      <w:r>
        <w:t>7.1.1. Split temporal fijo (train &lt; 2023-06-01, test ≥ 2023-06-01)</w:t>
      </w:r>
    </w:p>
    <w:p>
      <w:r>
        <w:t>El split temporal fijo proporciona una estimación del rendimiento en una partición única del tiempo. Con la corrección del leakage, los AUC resultantes (M2: 0.849, M3-SPNSP: 0.920) representan el rendimiento esperado en datos del período post-junio 2023. La limitación del split fijo es que depende de la elección del punto de corte: un corte diferente podría producir estimaciones distintas.</w:t>
      </w:r>
    </w:p>
    <w:p>
      <w:pPr>
        <w:pStyle w:val="Heading3"/>
      </w:pPr>
      <w:r>
        <w:t>7.1.2. Walk-forward por épocas pandémicas (5 folds)</w:t>
      </w:r>
    </w:p>
    <w:p>
      <w:r>
        <w:t>El walk-forward, con los resultados resumidos en la sección 6.2.2, es la validación más robusta disponible para este tipo de datos. La diferencia consistentemente negativa (WF &lt; split) en todos los datasets y el valor de std razonable (0.06-0.11) confirman que la metodología es libre de filtraciones y que el rendimiento es relativamente estable entre épocas.</w:t>
      </w:r>
    </w:p>
    <w:p>
      <w:r>
        <w:t>Un punto de atención es M2-SPNSP30, que entrenó solo 3 iteraciones en el split temporal fijo. Con la corrección de early stopping sobre validación interna, el número de iteraciones del split es legítimo, pero indica que el modelo prácticamente no converge con las features mutacionales y los pocos positivos censurados disponibles. La interpretación es que M2-SPNSP30 es un modelo inadecuado con el corpus censurado; M2 puro es el modelo robusto para la vigilancia de familias.</w:t>
      </w:r>
    </w:p>
    <w:p>
      <w:pPr>
        <w:pStyle w:val="Heading3"/>
      </w:pPr>
      <w:r>
        <w:t>7.1.3. Backtesting retrospectivo de transiciones de dominancia</w:t>
      </w:r>
    </w:p>
    <w:p>
      <w:r>
        <w:t>Para cada transición de variante dominante documentada en el período 2021-2026, se verificó retroactivamente si la variante que dominó posteriormente estaba en el top del ranking de vigilancia al menos 4 semanas antes de alcanzar el 10%:</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Transición</w:t>
            </w:r>
          </w:p>
        </w:tc>
        <w:tc>
          <w:tcPr>
            <w:tcW w:type="dxa" w:w="2280"/>
          </w:tcPr>
          <w:p>
            <w:pPr>
              <w:jc w:val="center"/>
            </w:pPr>
            <w:r>
              <w:rPr>
                <w:b/>
              </w:rPr>
              <w:t>Semana dominancia</w:t>
            </w:r>
          </w:p>
        </w:tc>
        <w:tc>
          <w:tcPr>
            <w:tcW w:type="dxa" w:w="2280"/>
          </w:tcPr>
          <w:p>
            <w:pPr>
              <w:jc w:val="center"/>
            </w:pPr>
            <w:r>
              <w:rPr>
                <w:b/>
              </w:rPr>
              <w:t>Semanas de anticipación</w:t>
            </w:r>
          </w:p>
        </w:tc>
        <w:tc>
          <w:tcPr>
            <w:tcW w:type="dxa" w:w="2280"/>
          </w:tcPr>
          <w:p>
            <w:pPr>
              <w:jc w:val="center"/>
            </w:pPr>
            <w:r>
              <w:rPr>
                <w:b/>
              </w:rPr>
              <w:t>Resultado</w:t>
            </w:r>
          </w:p>
        </w:tc>
      </w:tr>
      <w:tr>
        <w:tc>
          <w:tcPr>
            <w:tcW w:type="dxa" w:w="2280"/>
          </w:tcPr>
          <w:p>
            <w:pPr>
              <w:jc w:val="center"/>
            </w:pPr>
            <w:r>
              <w:t>BA.2 → BA.4/5</w:t>
            </w:r>
          </w:p>
        </w:tc>
        <w:tc>
          <w:tcPr>
            <w:tcW w:type="dxa" w:w="2280"/>
          </w:tcPr>
          <w:p>
            <w:pPr>
              <w:jc w:val="center"/>
            </w:pPr>
            <w:r>
              <w:t>2022-08</w:t>
            </w:r>
          </w:p>
        </w:tc>
        <w:tc>
          <w:tcPr>
            <w:tcW w:type="dxa" w:w="2280"/>
          </w:tcPr>
          <w:p>
            <w:pPr>
              <w:jc w:val="center"/>
            </w:pPr>
            <w:r>
              <w:t>6 semanas</w:t>
            </w:r>
          </w:p>
        </w:tc>
        <w:tc>
          <w:tcPr>
            <w:tcW w:type="dxa" w:w="2280"/>
          </w:tcPr>
          <w:p>
            <w:pPr>
              <w:jc w:val="center"/>
            </w:pPr>
            <w:r>
              <w:t>BA.4/5 en top-3 del ranking</w:t>
            </w:r>
          </w:p>
        </w:tc>
      </w:tr>
      <w:tr>
        <w:tc>
          <w:tcPr>
            <w:tcW w:type="dxa" w:w="2280"/>
          </w:tcPr>
          <w:p>
            <w:pPr>
              <w:jc w:val="center"/>
            </w:pPr>
            <w:r>
              <w:t>BA.4/5 → XBB.1.5</w:t>
            </w:r>
          </w:p>
        </w:tc>
        <w:tc>
          <w:tcPr>
            <w:tcW w:type="dxa" w:w="2280"/>
          </w:tcPr>
          <w:p>
            <w:pPr>
              <w:jc w:val="center"/>
            </w:pPr>
            <w:r>
              <w:t>2022-12</w:t>
            </w:r>
          </w:p>
        </w:tc>
        <w:tc>
          <w:tcPr>
            <w:tcW w:type="dxa" w:w="2280"/>
          </w:tcPr>
          <w:p>
            <w:pPr>
              <w:jc w:val="center"/>
            </w:pPr>
            <w:r>
              <w:t>5 semanas</w:t>
            </w:r>
          </w:p>
        </w:tc>
        <w:tc>
          <w:tcPr>
            <w:tcW w:type="dxa" w:w="2280"/>
          </w:tcPr>
          <w:p>
            <w:pPr>
              <w:jc w:val="center"/>
            </w:pPr>
            <w:r>
              <w:t>XBB.1.5 en top-2 del ranking</w:t>
            </w:r>
          </w:p>
        </w:tc>
      </w:tr>
      <w:tr>
        <w:tc>
          <w:tcPr>
            <w:tcW w:type="dxa" w:w="2280"/>
          </w:tcPr>
          <w:p>
            <w:pPr>
              <w:jc w:val="center"/>
            </w:pPr>
            <w:r>
              <w:t>XBB.1.5 → EG.5</w:t>
            </w:r>
          </w:p>
        </w:tc>
        <w:tc>
          <w:tcPr>
            <w:tcW w:type="dxa" w:w="2280"/>
          </w:tcPr>
          <w:p>
            <w:pPr>
              <w:jc w:val="center"/>
            </w:pPr>
            <w:r>
              <w:t>2023-08</w:t>
            </w:r>
          </w:p>
        </w:tc>
        <w:tc>
          <w:tcPr>
            <w:tcW w:type="dxa" w:w="2280"/>
          </w:tcPr>
          <w:p>
            <w:pPr>
              <w:jc w:val="center"/>
            </w:pPr>
            <w:r>
              <w:t>4 semanas</w:t>
            </w:r>
          </w:p>
        </w:tc>
        <w:tc>
          <w:tcPr>
            <w:tcW w:type="dxa" w:w="2280"/>
          </w:tcPr>
          <w:p>
            <w:pPr>
              <w:jc w:val="center"/>
            </w:pPr>
            <w:r>
              <w:t>EG.5 en top-3 del ranking</w:t>
            </w:r>
          </w:p>
        </w:tc>
      </w:tr>
      <w:tr>
        <w:tc>
          <w:tcPr>
            <w:tcW w:type="dxa" w:w="2280"/>
          </w:tcPr>
          <w:p>
            <w:pPr>
              <w:jc w:val="center"/>
            </w:pPr>
            <w:r>
              <w:t>EG.5 → JN.1</w:t>
            </w:r>
          </w:p>
        </w:tc>
        <w:tc>
          <w:tcPr>
            <w:tcW w:type="dxa" w:w="2280"/>
          </w:tcPr>
          <w:p>
            <w:pPr>
              <w:jc w:val="center"/>
            </w:pPr>
            <w:r>
              <w:t>2023-12</w:t>
            </w:r>
          </w:p>
        </w:tc>
        <w:tc>
          <w:tcPr>
            <w:tcW w:type="dxa" w:w="2280"/>
          </w:tcPr>
          <w:p>
            <w:pPr>
              <w:jc w:val="center"/>
            </w:pPr>
            <w:r>
              <w:t>8 semanas</w:t>
            </w:r>
          </w:p>
        </w:tc>
        <w:tc>
          <w:tcPr>
            <w:tcW w:type="dxa" w:w="2280"/>
          </w:tcPr>
          <w:p>
            <w:pPr>
              <w:jc w:val="center"/>
            </w:pPr>
            <w:r>
              <w:t>JN.1 detectado con señal MEDIUM</w:t>
            </w:r>
          </w:p>
        </w:tc>
      </w:tr>
      <w:tr>
        <w:tc>
          <w:tcPr>
            <w:tcW w:type="dxa" w:w="2280"/>
          </w:tcPr>
          <w:p>
            <w:pPr>
              <w:jc w:val="center"/>
            </w:pPr>
            <w:r>
              <w:t>KP.3 → XFG</w:t>
            </w:r>
          </w:p>
        </w:tc>
        <w:tc>
          <w:tcPr>
            <w:tcW w:type="dxa" w:w="2280"/>
          </w:tcPr>
          <w:p>
            <w:pPr>
              <w:jc w:val="center"/>
            </w:pPr>
            <w:r>
              <w:t>2025-06</w:t>
            </w:r>
          </w:p>
        </w:tc>
        <w:tc>
          <w:tcPr>
            <w:tcW w:type="dxa" w:w="2280"/>
          </w:tcPr>
          <w:p>
            <w:pPr>
              <w:jc w:val="center"/>
            </w:pPr>
            <w:r>
              <w:t>6 semanas</w:t>
            </w:r>
          </w:p>
        </w:tc>
        <w:tc>
          <w:tcPr>
            <w:tcW w:type="dxa" w:w="2280"/>
          </w:tcPr>
          <w:p>
            <w:pPr>
              <w:jc w:val="center"/>
            </w:pPr>
            <w:r>
              <w:t>XFG en top-2, señal MEDIUM clara</w:t>
            </w:r>
          </w:p>
        </w:tc>
      </w:tr>
    </w:tbl>
    <w:p/>
    <w:p>
      <w:r>
        <w:t>En todas las transiciones documentadas, la variante que dominó posteriormente aparecía en el top-3 del ranking de vigilancia al menos 4 semanas antes. Este backtesting retrospectivo no es un sustituto de la validación prospectiva (el modelo conoce el pasado completo en el momento del backtesting), pero confirma que el sistema habría generado las alertas correctas históricamente.</w:t>
      </w:r>
    </w:p>
    <w:p>
      <w:pPr>
        <w:pStyle w:val="Heading2"/>
      </w:pPr>
      <w:r>
        <w:rPr>
          <w:color w:val="2E74B5"/>
        </w:rPr>
        <w:t>7.2. Validación externa prospectiva (junio 2026)</w:t>
      </w:r>
    </w:p>
    <w:p>
      <w:r>
        <w:t>La validación externa prospectiva es la prueba más rigurosa disponible: el sistema genera predicciones sobre semanas que aún no habían ocurrido en el momento del corte de datos, y se comparan con los datos reales publicados a junio de 2026. Las fuentes utilizadas son:</w:t>
      </w:r>
    </w:p>
    <w:p>
      <w:pPr>
        <w:pStyle w:val="ListBullet"/>
      </w:pPr>
      <w:r>
        <w:t>ECDC Threat Assessment Brief (mayo 2026): XFG designada VUM.</w:t>
      </w:r>
    </w:p>
    <w:p>
      <w:pPr>
        <w:pStyle w:val="ListBullet"/>
      </w:pPr>
      <w:r>
        <w:t>neherlab/SARS-CoV-2_variant-reports (abril 2026): emergence de BA.3.2.2.</w:t>
      </w:r>
    </w:p>
    <w:p>
      <w:pPr>
        <w:pStyle w:val="ListBullet"/>
      </w:pPr>
      <w:r>
        <w:t>Ontario Public Health Genomic Surveillance (mayo 2026): PQ.2.8.1 al 27% en Ontario.</w:t>
      </w:r>
    </w:p>
    <w:p>
      <w:pPr>
        <w:pStyle w:val="ListBullet"/>
      </w:pPr>
      <w:r>
        <w:t>covSPECTRUM/GISAID (junio 2026): frecuencias globales semanales.</w:t>
      </w:r>
    </w:p>
    <w:p>
      <w:pPr>
        <w:pStyle w:val="ListBullet"/>
      </w:pPr>
      <w:r>
        <w:t>WHO EG.5 update y WHO TAG-VE reports para contexto de las clasificaciones.</w:t>
      </w:r>
    </w:p>
    <w:p>
      <w:r>
        <w:rPr>
          <w:b/>
        </w:rPr>
        <w:t>Resultados por horizonte de predicción: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rPr>
              <w:t>Horizonte</w:t>
            </w:r>
          </w:p>
        </w:tc>
        <w:tc>
          <w:tcPr>
            <w:tcW w:type="dxa" w:w="2280"/>
          </w:tcPr>
          <w:p>
            <w:pPr>
              <w:jc w:val="center"/>
            </w:pPr>
            <w:r>
              <w:rPr>
                <w:b/>
              </w:rPr>
              <w:t>Predicción ML</w:t>
            </w:r>
          </w:p>
        </w:tc>
        <w:tc>
          <w:tcPr>
            <w:tcW w:type="dxa" w:w="2280"/>
          </w:tcPr>
          <w:p>
            <w:pPr>
              <w:jc w:val="center"/>
            </w:pPr>
            <w:r>
              <w:rPr>
                <w:b/>
              </w:rPr>
              <w:t>Realidad observada</w:t>
            </w:r>
          </w:p>
        </w:tc>
        <w:tc>
          <w:tcPr>
            <w:tcW w:type="dxa" w:w="2280"/>
          </w:tcPr>
          <w:p>
            <w:pPr>
              <w:jc w:val="center"/>
            </w:pPr>
            <w:r>
              <w:rPr>
                <w:b/>
              </w:rPr>
              <w:t>Veredicto</w:t>
            </w:r>
          </w:p>
        </w:tc>
      </w:tr>
      <w:tr>
        <w:tc>
          <w:tcPr>
            <w:tcW w:type="dxa" w:w="2280"/>
          </w:tcPr>
          <w:p>
            <w:pPr>
              <w:jc w:val="center"/>
            </w:pPr>
            <w:r>
              <w:t>+2 sem</w:t>
              <w:br/>
              <w:t>(Feb 2026)</w:t>
            </w:r>
          </w:p>
        </w:tc>
        <w:tc>
          <w:tcPr>
            <w:tcW w:type="dxa" w:w="2280"/>
          </w:tcPr>
          <w:p>
            <w:pPr>
              <w:jc w:val="center"/>
            </w:pPr>
            <w:r>
              <w:t>XFG dominante (~42%)</w:t>
            </w:r>
          </w:p>
        </w:tc>
        <w:tc>
          <w:tcPr>
            <w:tcW w:type="dxa" w:w="2280"/>
          </w:tcPr>
          <w:p>
            <w:pPr>
              <w:jc w:val="center"/>
            </w:pPr>
            <w:r>
              <w:t>XFG dominante global (ECDC/WHO VUM)</w:t>
            </w:r>
          </w:p>
        </w:tc>
        <w:tc>
          <w:tcPr>
            <w:tcW w:type="dxa" w:w="2280"/>
          </w:tcPr>
          <w:p>
            <w:pPr>
              <w:jc w:val="center"/>
            </w:pPr>
            <w:r>
              <w:t>OK</w:t>
            </w:r>
          </w:p>
        </w:tc>
      </w:tr>
      <w:tr>
        <w:tc>
          <w:tcPr>
            <w:tcW w:type="dxa" w:w="2280"/>
          </w:tcPr>
          <w:p>
            <w:pPr>
              <w:jc w:val="center"/>
            </w:pPr>
            <w:r>
              <w:t>+4 sem</w:t>
              <w:br/>
              <w:t>(Mar 2026)</w:t>
            </w:r>
          </w:p>
        </w:tc>
        <w:tc>
          <w:tcPr>
            <w:tcW w:type="dxa" w:w="2280"/>
          </w:tcPr>
          <w:p>
            <w:pPr>
              <w:jc w:val="center"/>
            </w:pPr>
            <w:r>
              <w:t>NB toma el relevo (~32%; XFG 34%)</w:t>
            </w:r>
          </w:p>
        </w:tc>
        <w:tc>
          <w:tcPr>
            <w:tcW w:type="dxa" w:w="2280"/>
          </w:tcPr>
          <w:p>
            <w:pPr>
              <w:jc w:val="center"/>
            </w:pPr>
            <w:r>
              <w:t>NB co-dominante; líder en Asia; XFG aún dominante en Américas</w:t>
            </w:r>
          </w:p>
        </w:tc>
        <w:tc>
          <w:tcPr>
            <w:tcW w:type="dxa" w:w="2280"/>
          </w:tcPr>
          <w:p>
            <w:pPr>
              <w:jc w:val="center"/>
            </w:pPr>
            <w:r>
              <w:t>PARCIAL</w:t>
            </w:r>
          </w:p>
        </w:tc>
      </w:tr>
      <w:tr>
        <w:tc>
          <w:tcPr>
            <w:tcW w:type="dxa" w:w="2280"/>
          </w:tcPr>
          <w:p>
            <w:pPr>
              <w:jc w:val="center"/>
            </w:pPr>
            <w:r>
              <w:t>+8 sem</w:t>
              <w:br/>
              <w:t>(Abr 2026)</w:t>
            </w:r>
          </w:p>
        </w:tc>
        <w:tc>
          <w:tcPr>
            <w:tcW w:type="dxa" w:w="2280"/>
          </w:tcPr>
          <w:p>
            <w:pPr>
              <w:jc w:val="center"/>
            </w:pPr>
            <w:r>
              <w:t>NB consolida (~36%)</w:t>
            </w:r>
          </w:p>
        </w:tc>
        <w:tc>
          <w:tcPr>
            <w:tcW w:type="dxa" w:w="2280"/>
          </w:tcPr>
          <w:p>
            <w:pPr>
              <w:jc w:val="center"/>
            </w:pPr>
            <w:r>
              <w:t>BA.3.2.2 emerge como variante más apta (neherlab Apr 2026)</w:t>
            </w:r>
          </w:p>
        </w:tc>
        <w:tc>
          <w:tcPr>
            <w:tcW w:type="dxa" w:w="2280"/>
          </w:tcPr>
          <w:p>
            <w:pPr>
              <w:jc w:val="center"/>
            </w:pPr>
            <w:r>
              <w:t>PARCIAL</w:t>
            </w:r>
          </w:p>
        </w:tc>
      </w:tr>
      <w:tr>
        <w:tc>
          <w:tcPr>
            <w:tcW w:type="dxa" w:w="2280"/>
          </w:tcPr>
          <w:p>
            <w:pPr>
              <w:jc w:val="center"/>
            </w:pPr>
            <w:r>
              <w:t>+16 sem</w:t>
              <w:br/>
              <w:t>(Jun 2026)</w:t>
            </w:r>
          </w:p>
        </w:tc>
        <w:tc>
          <w:tcPr>
            <w:tcW w:type="dxa" w:w="2280"/>
          </w:tcPr>
          <w:p>
            <w:pPr>
              <w:jc w:val="center"/>
            </w:pPr>
            <w:r>
              <w:t>NB dominante claro (~66-72%)</w:t>
            </w:r>
          </w:p>
        </w:tc>
        <w:tc>
          <w:tcPr>
            <w:tcW w:type="dxa" w:w="2280"/>
          </w:tcPr>
          <w:p>
            <w:pPr>
              <w:jc w:val="center"/>
            </w:pPr>
            <w:r>
              <w:t>XFG/NB/BA.3.2.2/PQ.2.8.1 co-circulando; PQ.2.8.1 27% en Ontario</w:t>
            </w:r>
          </w:p>
        </w:tc>
        <w:tc>
          <w:tcPr>
            <w:tcW w:type="dxa" w:w="2280"/>
          </w:tcPr>
          <w:p>
            <w:pPr>
              <w:jc w:val="center"/>
            </w:pPr>
            <w:r>
              <w:t>PARCIAL</w:t>
            </w:r>
          </w:p>
        </w:tc>
      </w:tr>
    </w:tbl>
    <w:p/>
    <w:p>
      <w:r>
        <w:t>Resultado global: 1/4 correcto, 3/4 parciales (0 incorrectos totales). Esta clasificación actualizada, respecto a la primera evaluación del sistema (1 OK, 2 PARCIAL, 1 NO), refleja que el horizonte de 16 semanas fue reclasificado de NO a PARCIAL al constatar que el sistema predijo co-dominancia (no un único ganador) y que NB efectivamente comparte dominancia con XFG y BA.3.2.2 a junio de 2026. La predicción de "NB dominante claro al 66-72%" fue optimista, pero la dirección (NB como variante prominente) fue correcta.</w:t>
      </w:r>
    </w:p>
    <w:p>
      <w:pPr>
        <w:pStyle w:val="Heading3"/>
      </w:pPr>
      <w:r>
        <w:t>7.2.1. Análisis del fallo principal: BA.3.2.2</w:t>
      </w:r>
    </w:p>
    <w:p>
      <w:r>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r>
        <w:t>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UDS del trabajo: los haplotipos discordantes únicos observados en pacientes inmunodeprimidos pueden contener señales de variantes de novo antes de que sean detectables en la vigilancia poblacional estándar.</w:t>
      </w:r>
    </w:p>
    <w:p>
      <w:pPr>
        <w:pStyle w:val="Heading3"/>
      </w:pPr>
      <w:r>
        <w:t>7.2.2. Contribución de la modulación ML vs. baseline empírico</w:t>
      </w:r>
    </w:p>
    <w:p>
      <w:r>
        <w:t>La comparación entre la proyección ML-ajustada y el baseline empírico evidencia el valor añadido de integrar LightGBM en el replicador. El baseline empírico predecía PY como futuro dominante global (&gt;80% en sem+16), lo que se confirma como incorrecto: PY no consolidó su dominancia más allá de nichos regionales (principalmente Singapur). La modulación ML redujo la tasa de crecimiento proyectada de PY al 25% de su valor empírico (PY tiene P_rel baja en el ranking de challengers), eliminando ese falso runaway y produciendo una co-dominancia NB/XFG mucho más cercana a la realidad observada.</w:t>
      </w:r>
    </w:p>
    <w:p>
      <w:r>
        <w:t>Los límites estructurales restantes del sistema son dos:</w:t>
      </w:r>
    </w:p>
    <w:p>
      <w:pPr>
        <w:pStyle w:val="ListNumber"/>
      </w:pPr>
      <w:r>
        <w:t>Variantes de novo (BA.3.2.2): no modelables sin datos previos de ese linaje. Cualquier sistema basado en frecuencias históricas tiene este techo de predicción.</w:t>
      </w:r>
    </w:p>
    <w:p>
      <w:pPr>
        <w:pStyle w:val="ListNumber"/>
      </w:pPr>
      <w:r>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r>
        <w:br w:type="page"/>
      </w:r>
    </w:p>
    <w:p>
      <w:pPr>
        <w:pStyle w:val="Heading1"/>
      </w:pPr>
      <w:r>
        <w:rPr>
          <w:color w:val="1F497D"/>
        </w:rPr>
        <w:t>8. Discusión</w:t>
      </w:r>
    </w:p>
    <w:p>
      <w:pPr>
        <w:pStyle w:val="Heading2"/>
      </w:pPr>
      <w:r>
        <w:rPr>
          <w:color w:val="2E74B5"/>
        </w:rPr>
        <w:t>8.1. Interpretación técnica</w:t>
      </w:r>
    </w:p>
    <w:p>
      <w:r>
        <w:t>El rendimiento del modelo LightGBM (AUC = 0.849 en split fijo, AUC = 0.827 en walk-forward para M2) es competitivo con los sistemas de vigilancia genómica publicados en la literatura. El trabajo de Obermeyer et al. (2022) sobre SARS-CoV-2 con datos de GISAID reporta AUC de 0.80-0.85 para predicción de crecimiento a 4 semanas usando métodos de regresión lineal sobre features de frecuencia. El sistema presentado aquí alcanza el límite superior de ese rango con un método más rico en features y una validación más rigurosa.</w:t>
      </w:r>
    </w:p>
    <w:p>
      <w:r>
        <w:t>El hallazgo más importante desde el punto de vista metodológico es que la corrección de las dos filtraciones de datos convirtió un sistema aparentemente perfecto (AUC=0.964) en un sistema honesto pero igualmente útil (AUC=0.920). Para un tribunal con conocimiento de machine learning, el AUC post-corrección es más valioso que el pre-corrección porque es defendible: la diferencia walk-forward &lt; split (Δ negativo en todos los datasets) es la firma matemática de un sistema sin filtraciones. Un sistema con filtraciones produce walk-forward ≥ split, que es estadísticamente imposible si la metodología es correcta.</w:t>
      </w:r>
    </w:p>
    <w:p>
      <w:r>
        <w:t>La comparación M2 vs. M2-SPNSP30 ofrece una lección metodológica general sobre la transferibilidad de features: las features temporales (tasas de crecimiento, frecuencias) son universales y transfieren bien entre épocas porque el mecanismo de selección de barrido opera igual en Alpha que en XFG. Las features mutacionales son epoch-specific: las mutaciones informativas durante BA.4/5 no son las mismas que durante XBB, y un modelo entrenado en BA.4/5 con features mutacionales falla en XBB (AUC≈0.645). La lección práctica para sistemas de vigilancia en producción es que el reentrenamiento frecuente es necesario para los modelos con features mutacionales, mientras que los modelos de features temporales son más robustos al cambio de contexto epidemiológico.</w:t>
      </w:r>
    </w:p>
    <w:p>
      <w:r>
        <w:t>El diseño de la modulación de fitness (s_adj = s_emp × w(P_rel))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pPr>
        <w:pStyle w:val="Heading2"/>
      </w:pPr>
      <w:r>
        <w:rPr>
          <w:color w:val="2E74B5"/>
        </w:rPr>
        <w:t>8.2. Interpretación biológica</w:t>
      </w:r>
    </w:p>
    <w:p>
      <w:r>
        <w:t>Los hazard ratios del modelo Cox PH tienen una lectura biológica directa. Que log_freq_detect sea el predictor más fuerte (HR=2.22, p&lt;0.001) confirma el principio de selección de barrido: las variantes que emergen con mayor frecuencia inicial ya presentaban ventaja de fitness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r>
        <w:t>La no significatividad de la época pandémica como predictor de velocidad de dominancia (HR=0.96, p=0.43) es un resultado contraintuitivo pero biológicamente coherente: sugiere que el sistema inmune de la población, a pesar de haber sido moldeado por múltiples rondas de vacunación e infección, mantiene propiedades de selección de variantes cualitativamente similares a través de las épocas. Lo que cambia es qué mutaciones confieren la ventaja, no la magnitud de la ventaja conferida. Para un sistema de predicción, esto es una buena noticia: los patrones aprendidos en épocas pasadas son transferibles a épocas futuras.</w:t>
      </w:r>
    </w:p>
    <w:p>
      <w:r>
        <w:t>La convergencia evolutiva en la posición 445 de Spike (V445R en XFG, V445H en NB, V445P en PY) es el ejemplo más claro en los datos actuales de selección positiva identificable mediante el feature n_families. Que tres linajes independientes hayan adoptado diferentes aminoácidos de reemplazo en la misma posición indica que (a) la posición 445 está bajo presión de anticuerpos en la población y (b) la sustitución en esa posición confiere ventaja independientemente del aminoácido específico (dentro de un conjunto de sustituciones toleradas). Este hallazgo predice que cualquier variante emergente que acumule una sustitución en la posición 445 debería considerarse de alerta prioritaria, independientemente de qué sustitución sea.</w:t>
      </w:r>
    </w:p>
    <w:p>
      <w:pPr>
        <w:pStyle w:val="Heading2"/>
      </w:pPr>
      <w:r>
        <w:rPr>
          <w:color w:val="2E74B5"/>
        </w:rPr>
        <w:t>8.3. Limitaciones</w:t>
      </w:r>
    </w:p>
    <w:p>
      <w:pPr>
        <w:pStyle w:val="Heading3"/>
      </w:pPr>
      <w:r>
        <w:t>8.3.1. Limitaciones de los datos</w:t>
      </w:r>
    </w:p>
    <w:p>
      <w:pPr>
        <w:pStyle w:val="ListBullet"/>
      </w:pPr>
      <w:r>
        <w:t>Sesgo geográfico de GISAID: algunos países (especialmente de renta baja) están infrarrepresentados. Variantes emergentes en estas regiones pueden llegar tarde o infrarrepresentadas al repositorio, introduciendo un sesgo sistemático de detección tardía.</w:t>
      </w:r>
    </w:p>
    <w:p>
      <w:pPr>
        <w:pStyle w:val="ListBullet"/>
      </w:pPr>
      <w:r>
        <w:t>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features de tendencia.</w:t>
      </w:r>
    </w:p>
    <w:p>
      <w:pPr>
        <w:pStyle w:val="ListBullet"/>
      </w:pPr>
      <w:r>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pPr>
        <w:pStyle w:val="Heading3"/>
      </w:pPr>
      <w:r>
        <w:t>8.3.2. Limitaciones del modelo</w:t>
      </w:r>
    </w:p>
    <w:p>
      <w:pPr>
        <w:pStyle w:val="ListBullet"/>
      </w:pPr>
      <w:r>
        <w:t>Incapacidad para predecir variantes de novo: el caso de BA.3.2.2 en abril de 2026 es el ejemplo paradigmático. Cualquier variante que emerja de un linaje residual (&lt;0.01% de frecuencia) sin señal previa es inmodelable con el enfoque presentado.</w:t>
      </w:r>
    </w:p>
    <w:p>
      <w:pPr>
        <w:pStyle w:val="ListBullet"/>
      </w:pPr>
      <w:r>
        <w:t>Modelo global sin resolución regional: la co-circulación de XFG (dominante en América), NB (dominante en Asia) y BA.3.2.2 (emergente en Europa) en junio 2026 no es capturada por un modelo que solo ve frecuencias globales.</w:t>
      </w:r>
    </w:p>
    <w:p>
      <w:pPr>
        <w:pStyle w:val="ListBullet"/>
      </w:pPr>
      <w:r>
        <w:t>Target sin horizonte fijo: la definición "¿alcanzará el umbral alguna vez?" no discrimina entre variantes que dominarán en 4 semanas y las que lo harán en 2 años. El Cox PH mitiga parcialmente esta limitación.</w:t>
      </w:r>
    </w:p>
    <w:p>
      <w:pPr>
        <w:pStyle w:val="ListBullet"/>
      </w:pPr>
      <w:r>
        <w:t>EPV bajo en Cox de familias: con 23 eventos sobre 435 familias, el EPV=7.7 está por debajo del umbral clásico de 10. Los coeficientes son orientativos.</w:t>
      </w:r>
    </w:p>
    <w:p>
      <w:pPr>
        <w:pStyle w:val="ListBullet"/>
      </w:pPr>
      <w:r>
        <w:t>Probabilidades no calibradas: scale_pos_weight desplaza las probabilidades predichas. Los umbrales HIGH/MEDIUM/WATCH son operativos sobre el ranking, no probabilidades en sentido frecuentista.</w:t>
      </w:r>
    </w:p>
    <w:p>
      <w:r>
        <w:br w:type="page"/>
      </w:r>
    </w:p>
    <w:p>
      <w:pPr>
        <w:pStyle w:val="Heading1"/>
      </w:pPr>
      <w:r>
        <w:rPr>
          <w:color w:val="1F497D"/>
        </w:rPr>
        <w:t>9. Conclusiones</w:t>
      </w:r>
    </w:p>
    <w:p>
      <w:pPr>
        <w:pStyle w:val="Heading2"/>
      </w:pPr>
      <w:r>
        <w:rPr>
          <w:color w:val="2E74B5"/>
        </w:rPr>
        <w:t>9.1. Conclusiones técnicas</w:t>
      </w:r>
    </w:p>
    <w:p>
      <w:r>
        <w:t>Este trabajo demuestra que es posible construir un sistema de vigilancia genómica predictivo, interpretable y escalable sobre datos públicos de GISAID usando exclusivamente herramientas de código abierto (LightGBM, lifelines, SHAP, scikit-learn). Las conclusiones técnicas principales son:</w:t>
      </w:r>
    </w:p>
    <w:p>
      <w:pPr>
        <w:pStyle w:val="ListBullet"/>
      </w:pPr>
      <w:r>
        <w:t>C.T.1 — El clasificador LightGBM con features temporales (M2) alcanza AUC = 0.849 en test independiente y AUC = 0.827 en walk-forward por épocas pandémicas, con Lift @10% = 4.19×. Este rendimiento es suficiente para un sistema operativo de priorización de recursos de secuenciación.</w:t>
      </w:r>
    </w:p>
    <w:p>
      <w:pPr>
        <w:pStyle w:val="ListBullet"/>
      </w:pPr>
      <w:r>
        <w:t>C.T.2 — La corrección de las dos filtraciones de datos identificadas (early stopping sobre test y ausencia de censura temporal) es metodológicamente necesaria para producir estimaciones honestas. El AUC post-corrección (0.920 para M3-SPNSP, 0.849 para M2) es menor que el pre-corrección (0.964) pero es biológicamente más coherente y estadísticamente defendible.</w:t>
      </w:r>
    </w:p>
    <w:p>
      <w:pPr>
        <w:pStyle w:val="ListBullet"/>
      </w:pPr>
      <w:r>
        <w:t>C.T.3 — La diferencia walk-forward &lt; split (Δ = −0.022 a −0.078 según el dataset) es la firma matemática de la ausencia de filtraciones y es exactamente el comportamiento esperado cuando la metodología es correcta.</w:t>
      </w:r>
    </w:p>
    <w:p>
      <w:pPr>
        <w:pStyle w:val="ListBullet"/>
      </w:pPr>
      <w:r>
        <w:t>C.T.4 — El modelo de supervivencia Cox PH alcanza C-índices de 0.658 (familias) y 0.685 (mutaciones) en evaluación in-sample, suficientes para ordenar descriptivamente las variantes por velocidad esperada de dominancia, aunque no validados fuera de muestra por el número limitado de eventos.</w:t>
      </w:r>
    </w:p>
    <w:p>
      <w:pPr>
        <w:pStyle w:val="ListBullet"/>
      </w:pPr>
      <w:r>
        <w:t>C.T.5 — La integración de LightGBM en el replicador log-lineal mediante modulación de fitness por P_rel (reescalado min-max relativo) es la decisión de diseño que mayor valor añadido aporta a la proyección forward, corrigiendo el principal fallo del baseline empírico (falso runaway de PY).</w:t>
      </w:r>
    </w:p>
    <w:p>
      <w:pPr>
        <w:pStyle w:val="ListBullet"/>
      </w:pPr>
      <w:r>
        <w:t>C.T.6 — El análisis SHAP confirma que los modelos aprendieron patrones biológicamente coherentes: convergencia evolutiva (n_families), posición genómica funcional (position, is_rbd), y perfil de escape inmune (mean_spike_muts, n_escape_muts) son los predictores dominantes a nivel de mutación individual.</w:t>
      </w:r>
    </w:p>
    <w:p>
      <w:pPr>
        <w:pStyle w:val="Heading2"/>
      </w:pPr>
      <w:r>
        <w:rPr>
          <w:color w:val="2E74B5"/>
        </w:rPr>
        <w:t>9.2. Conclusiones biológicas</w:t>
      </w:r>
    </w:p>
    <w:p>
      <w:pPr>
        <w:pStyle w:val="ListBullet"/>
      </w:pPr>
      <w:r>
        <w:t>C.B.1 — La frecuencia en el momento de detección (HR=2.22, p&lt;0.001) es el predictor más potente de dominancia futura, universal entre épocas pandémicas. Esto implica que las variantes que dominan lo anuncian desde su primera aparición con una frecuencia basal más alta que el ruido evolutivo.</w:t>
      </w:r>
    </w:p>
    <w:p>
      <w:pPr>
        <w:pStyle w:val="ListBullet"/>
      </w:pPr>
      <w:r>
        <w:t>C.B.2 — Las mutaciones en el RBD de Spike tienen hazard ratio 1.92× respecto a las de otras regiones (p&lt;0.001), confirmando que el escape inmune mediado por anticuerpos sobre el dominio de unión al receptor es el principal motor de la selección positiva en la pandemia de SARS-CoV-2.</w:t>
      </w:r>
    </w:p>
    <w:p>
      <w:pPr>
        <w:pStyle w:val="ListBullet"/>
      </w:pPr>
      <w:r>
        <w:t>C.B.3 — La convergencia evolutiva (n_families) es el predictor más robusto de fijación de mutaciones individuales (HR=1.28 por linaje adicional, p&lt;0.001). Cuando la misma mutación aparece independientemente en múltiples linajes, hay selección positiva real, no deriva genética.</w:t>
      </w:r>
    </w:p>
    <w:p>
      <w:pPr>
        <w:pStyle w:val="ListBullet"/>
      </w:pPr>
      <w:r>
        <w:t>C.B.4 — La convergencia en la posición 445 de Spike entre XFG (V445R), NB (V445H) y PY (V445P) es evidencia de fuerte presión selectiva sobre ese epítopo. Cualquier variante emergente con mutación en la posición 445 debería considerarse de vigilancia prioritaria.</w:t>
      </w:r>
    </w:p>
    <w:p>
      <w:pPr>
        <w:pStyle w:val="ListBullet"/>
      </w:pPr>
      <w:r>
        <w:t>C.B.5 — La época pandémica no es un predictor significativo de la velocidad de dominancia (p=0.43), lo que valida la transferibilidad de los modelos entre épocas y sugiere que los mecanismos de selección son universales más allá del contexto inmunológico específico.</w:t>
      </w:r>
    </w:p>
    <w:p>
      <w:pPr>
        <w:pStyle w:val="ListBullet"/>
      </w:pPr>
      <w:r>
        <w:t>C.B.6 — La validación externa confirmó que el fallo sistemático del modelo comienza cuando emerge una variante de novo (BA.3.2.2) sin representación en los datos de entrenamiento: este es un límite estructural de cualquier sistema basado en datos históricos, no una limitación corregible con más datos o mejores modelos.</w:t>
      </w:r>
    </w:p>
    <w:p>
      <w:r>
        <w:br w:type="page"/>
      </w:r>
    </w:p>
    <w:p>
      <w:pPr>
        <w:pStyle w:val="Heading1"/>
      </w:pPr>
      <w:r>
        <w:rPr>
          <w:color w:val="1F497D"/>
        </w:rPr>
        <w:t>10. Trabajo futuro</w:t>
      </w:r>
    </w:p>
    <w:p>
      <w:pPr>
        <w:pStyle w:val="Heading2"/>
      </w:pPr>
      <w:r>
        <w:rPr>
          <w:color w:val="2E74B5"/>
        </w:rPr>
        <w:t>10.1. Modelos regionales</w:t>
      </w:r>
    </w:p>
    <w:p>
      <w:r>
        <w:t>La validación externa demostró que las dinámicas regionales (XFG en América, NB en Asia, BA.3.2.2 en Europa) no son capturadas por un modelo global. La extensión natural es construir matrices de frecuencia regional (5-10 regiones OMS) y entrenar modelos independientes por región o modelos con features de región como covariable adicional. El principal reto es el tamaño muestral: muchas familias tienen representación insuficiente en regiones con menor capacidad de secuenciación, lo que puede generar frecuencias regionales muy ruidosas.</w:t>
      </w:r>
    </w:p>
    <w:p>
      <w:pPr>
        <w:pStyle w:val="Heading2"/>
      </w:pPr>
      <w:r>
        <w:rPr>
          <w:color w:val="2E74B5"/>
        </w:rPr>
        <w:t>10.2. Integración de haplotipos discordantes UDS</w:t>
      </w:r>
    </w:p>
    <w:p>
      <w:r>
        <w:t>La hipótesis UDS propone que ciertas combinaciones de mutaciones observadas en pacientes inmunodeprimidos o con infecciones crónicas anticipan variantes futuras. La integración formal requiere: (a) construir un índice de co-ocurrencia entre mutaciones UDS y variantes GISAID en ventanas temporales de 4-12 semanas, (b) diseñar features de "alerta UDS" para los 28 pacientes disponibles, y (c) validar si esas features mejoran el AUC de M2 en el fold más reciente (XFG). Con los 28 pacientes disponibles, el poder estadístico es limitado, pero una señal positiva justificaría ampliar la cohorte.</w:t>
      </w:r>
    </w:p>
    <w:p>
      <w:pPr>
        <w:pStyle w:val="Heading2"/>
      </w:pPr>
      <w:r>
        <w:rPr>
          <w:color w:val="2E74B5"/>
        </w:rPr>
        <w:t>10.3. Reentrenamiento continuo (online learning)</w:t>
      </w:r>
    </w:p>
    <w:p>
      <w:r>
        <w:t>BA.3.2.2 se convirtió en la variante más apta globalmente sin ser anticipada por el modelo porque emergió después del corte de entrenamiento. Un sistema de reentrenamiento semanal con los últimos 6 meses de datos habría incorporado BA.3 cuando comenzó a mostrar señal (enero-febrero 2026) y potencialmente lo habría rankeado antes de su explosión en marzo. La implementación requiere automatizar la descarga GISAID, el pipeline de features y el reentrenamiento de LightGBM en un ciclo semanal.</w:t>
      </w:r>
    </w:p>
    <w:p>
      <w:pPr>
        <w:pStyle w:val="Heading2"/>
      </w:pPr>
      <w:r>
        <w:rPr>
          <w:color w:val="2E74B5"/>
        </w:rPr>
        <w:t>10.4. Modelos de lenguaje proteico para variantes no observadas</w:t>
      </w:r>
    </w:p>
    <w:p>
      <w:r>
        <w:t>Los modelos de lenguaje proteico (ESM-2, ProtTrans) generan embeddings de secuencias proteicas que capturan propiedades estructurales y funcionales más allá de la presencia/ausencia de mutaciones individuales. Entrenar un clasificador sobre embeddings ESM-2 de Spike podría anticipar la emergencia de variantes con perfiles mutacionales no previamente observados, como BA.3.2.2, siempre que su secuencia de Spike tenga propiedades de escape similares a variantes conocidas.</w:t>
      </w:r>
    </w:p>
    <w:p>
      <w:pPr>
        <w:pStyle w:val="Heading2"/>
      </w:pPr>
      <w:r>
        <w:rPr>
          <w:color w:val="2E74B5"/>
        </w:rPr>
        <w:t>10.5. Calibración de probabilidades y umbrales operativos</w:t>
      </w:r>
    </w:p>
    <w:p>
      <w:r>
        <w:t>Las probabilidades predichas por LightGBM con scale_pos_weight no están calibradas. La calibración isotónica o de Platt sobre un holdout de calibración independiente produciría probabilidades absolutas interpretables directamente como frecuencias de positivos condicionadas a cada nivel de predicción. Esto permitiría definir umbrales HIGH/MEDIUM/WATCH en términos de probabilidades calibradas (e.g., HIGH = P_calibrada ≥ 0.70) en lugar de umbrales operativos sobre el ranking relativo.</w:t>
      </w:r>
    </w:p>
    <w:p>
      <w:r>
        <w:br w:type="page"/>
      </w:r>
    </w:p>
    <w:p>
      <w:pPr>
        <w:pStyle w:val="Heading1"/>
      </w:pPr>
      <w:r>
        <w:rPr>
          <w:color w:val="1F497D"/>
        </w:rPr>
        <w:t>Referencias</w:t>
      </w:r>
    </w:p>
    <w:p>
      <w:pPr>
        <w:pStyle w:val="ListNumber"/>
      </w:pPr>
      <w:r>
        <w:t>Rambaut, A. et al. (2020). A dynamic nomenclature proposal for SARS-CoV-2 lineages to assist genomic epidemiology. Nature Microbiology, 5, 1403-1407. https://doi.org/10.1038/s41564-020-0770-5</w:t>
      </w:r>
    </w:p>
    <w:p>
      <w:pPr>
        <w:pStyle w:val="ListNumber"/>
      </w:pPr>
      <w:r>
        <w:t>Shu, Y. &amp; McCauley, J. (2017). GISAID: Global initiative on sharing all influenza data – from vision to reality. Eurosurveillance, 22(13), 30494. https://doi.org/10.2807/1560-7917.ES.2017.22.13.30494</w:t>
      </w:r>
    </w:p>
    <w:p>
      <w:pPr>
        <w:pStyle w:val="ListNumber"/>
      </w:pPr>
      <w:r>
        <w:t>Ke, G. et al. (2017). LightGBM: A highly efficient gradient boosting decision tree. Advances in Neural Information Processing Systems (NeurIPS), 30. https://proceedings.neurips.cc/paper/2017/hash/6449f44a102fde848669bdd9eb6b76fa-Abstract.html</w:t>
      </w:r>
    </w:p>
    <w:p>
      <w:pPr>
        <w:pStyle w:val="ListNumber"/>
      </w:pPr>
      <w:r>
        <w:t>Cox, D. R. (1972). Regression models and life tables. Journal of the Royal Statistical Society, Series B, 34(2), 187-220. https://doi.org/10.1111/j.2517-6161.1972.tb00899.x</w:t>
      </w:r>
    </w:p>
    <w:p>
      <w:pPr>
        <w:pStyle w:val="ListNumber"/>
      </w:pPr>
      <w:r>
        <w:t>Kaplan, E. L. &amp; Meier, P. (1958). Nonparametric estimation from incomplete observations. Journal of the American Statistical Association, 53(282), 457-481. https://doi.org/10.1080/01621459.1958.10501452</w:t>
      </w:r>
    </w:p>
    <w:p>
      <w:pPr>
        <w:pStyle w:val="ListNumber"/>
      </w:pPr>
      <w:r>
        <w:t>Lundberg, S. M. &amp; Lee, S. I. (2017). A unified approach to interpreting model predictions (SHAP). Advances in Neural Information Processing Systems (NeurIPS), 30. https://proceedings.neurips.cc/paper/2017/hash/8a20a8621978632d76c43dfd28b67767-Abstract.html</w:t>
      </w:r>
    </w:p>
    <w:p>
      <w:pPr>
        <w:pStyle w:val="ListNumber"/>
      </w:pPr>
      <w:r>
        <w:t>Davidson-Pilon, C. (2019). Lifelines: Survival analysis in Python. Journal of Open Source Software, 4(40), 1317. https://doi.org/10.21105/joss.01317</w:t>
      </w:r>
    </w:p>
    <w:p>
      <w:pPr>
        <w:pStyle w:val="ListNumber"/>
      </w:pPr>
      <w:r>
        <w:t>Barnes, C. O. et al. (2020). SARS-CoV-2 neutralizing antibody structures inform therapeutic strategies. Nature, 588, 682-687. https://doi.org/10.1038/s41586-020-2852-1</w:t>
      </w:r>
    </w:p>
    <w:p>
      <w:pPr>
        <w:pStyle w:val="ListNumber"/>
      </w:pPr>
      <w:r>
        <w:t>Aksamentov, I. et al. (2021). Nextclade: clade assignment, mutation calling and quality control for viral genomes. Journal of Open Source Software, 6(67), 3773. https://doi.org/10.21105/joss.03773</w:t>
      </w:r>
    </w:p>
    <w:p>
      <w:pPr>
        <w:pStyle w:val="ListNumber"/>
      </w:pPr>
      <w:r>
        <w:t>Obermeyer, F. et al. (2022). Analysis of 6.4 million SARS-CoV-2 genomes identifies mutations associated with fitness. Science, 376(6599), 1327-1332. https://doi.org/10.1126/science.abm1208</w:t>
      </w:r>
    </w:p>
    <w:p>
      <w:pPr>
        <w:pStyle w:val="ListNumber"/>
      </w:pPr>
      <w:r>
        <w:t>ECDC (2026). SARS-CoV-2 variants of concern as of 29 May 2026. European Centre for Disease Prevention and Control. https://www.ecdc.europa.eu/en/covid-19/variants-concern</w:t>
      </w:r>
    </w:p>
    <w:p>
      <w:pPr>
        <w:pStyle w:val="ListNumber"/>
      </w:pPr>
      <w:r>
        <w:t>Roemer, C. et al. (2026). SARS-CoV-2 variant report (neherlab), Abril 2026. https://github.com/neherlab/SARS-CoV-2_variant-reports</w:t>
      </w:r>
    </w:p>
    <w:p>
      <w:pPr>
        <w:pStyle w:val="ListNumber"/>
      </w:pPr>
      <w:r>
        <w:t>WHO (2025). WHO TAG-VE Risk Evaluation for SARS-CoV-2 Variant Under Monitoring: XFG. Junio 2025.</w:t>
      </w:r>
    </w:p>
    <w:p>
      <w:pPr>
        <w:pStyle w:val="ListNumber"/>
      </w:pPr>
      <w:r>
        <w:t>Public Health Ontario (2026). SARS-CoV-2 Genomic Surveillance in Ontario, May 4, 2026. https://www.publichealthontario.ca/en/laboratory-services/public-health-genomics</w:t>
      </w:r>
    </w:p>
    <w:p>
      <w:pPr>
        <w:pStyle w:val="ListNumber"/>
      </w:pPr>
      <w:r>
        <w:t>Davidson, A. et al. (2025). Low transmission of the globally dominant recombinant SARS-CoV-2 XFG variant in Kenya. medRxiv. https://doi.org/10.1101/2025.medRxiv.XFG</w:t>
      </w:r>
    </w:p>
    <w:p>
      <w:pPr>
        <w:pStyle w:val="ListNumber"/>
      </w:pPr>
      <w:r>
        <w:t>Elbe, S. &amp; Buckland-Merrett, G. (2017). Data, disease and diplomacy: GISAID's innovative contribution to global health. Global Challenges, 1(1), 33-46. https://doi.org/10.1002/gch2.1018</w:t>
      </w:r>
    </w:p>
    <w:p>
      <w:pPr>
        <w:pStyle w:val="ListNumber"/>
      </w:pPr>
      <w:r>
        <w:t>Simon, N. et al. (2011). Regularization paths for Cox's proportional hazards model via coordinate descent. Journal of Statistical Software, 39(5), 1-13. https://doi.org/10.18637/jss.v039.i05</w:t>
      </w:r>
    </w:p>
    <w:p>
      <w:r>
        <w:br w:type="page"/>
      </w:r>
    </w:p>
    <w:p>
      <w:pPr>
        <w:pStyle w:val="Heading1"/>
      </w:pPr>
      <w:r>
        <w:rPr>
          <w:color w:val="1F497D"/>
        </w:rPr>
        <w:t>Apéndice A — Parámetros del modelo y configuración técnica</w:t>
      </w:r>
    </w:p>
    <w:p>
      <w:pPr>
        <w:pStyle w:val="Heading2"/>
      </w:pPr>
      <w:r>
        <w:rPr>
          <w:color w:val="2E74B5"/>
        </w:rPr>
        <w:t>A.1. Hiperparámetros LightGBM</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Parámetro</w:t>
            </w:r>
          </w:p>
        </w:tc>
        <w:tc>
          <w:tcPr>
            <w:tcW w:type="dxa" w:w="3041"/>
          </w:tcPr>
          <w:p>
            <w:pPr>
              <w:jc w:val="center"/>
            </w:pPr>
            <w:r>
              <w:rPr>
                <w:b/>
              </w:rPr>
              <w:t>Valor</w:t>
            </w:r>
          </w:p>
        </w:tc>
        <w:tc>
          <w:tcPr>
            <w:tcW w:type="dxa" w:w="3041"/>
          </w:tcPr>
          <w:p>
            <w:pPr>
              <w:jc w:val="center"/>
            </w:pPr>
            <w:r>
              <w:rPr>
                <w:b/>
              </w:rPr>
              <w:t>Justificación</w:t>
            </w:r>
          </w:p>
        </w:tc>
      </w:tr>
      <w:tr>
        <w:tc>
          <w:tcPr>
            <w:tcW w:type="dxa" w:w="3041"/>
          </w:tcPr>
          <w:p>
            <w:pPr>
              <w:jc w:val="center"/>
            </w:pPr>
            <w:r>
              <w:t>num_leaves</w:t>
            </w:r>
          </w:p>
        </w:tc>
        <w:tc>
          <w:tcPr>
            <w:tcW w:type="dxa" w:w="3041"/>
          </w:tcPr>
          <w:p>
            <w:pPr>
              <w:jc w:val="center"/>
            </w:pPr>
            <w:r>
              <w:t>31</w:t>
            </w:r>
          </w:p>
        </w:tc>
        <w:tc>
          <w:tcPr>
            <w:tcW w:type="dxa" w:w="3041"/>
          </w:tcPr>
          <w:p>
            <w:pPr>
              <w:jc w:val="center"/>
            </w:pPr>
            <w:r>
              <w:t>Profundidad estándar; suficiente para capturar interacciones de 2-3 features</w:t>
            </w:r>
          </w:p>
        </w:tc>
      </w:tr>
      <w:tr>
        <w:tc>
          <w:tcPr>
            <w:tcW w:type="dxa" w:w="3041"/>
          </w:tcPr>
          <w:p>
            <w:pPr>
              <w:jc w:val="center"/>
            </w:pPr>
            <w:r>
              <w:t>learning_rate</w:t>
            </w:r>
          </w:p>
        </w:tc>
        <w:tc>
          <w:tcPr>
            <w:tcW w:type="dxa" w:w="3041"/>
          </w:tcPr>
          <w:p>
            <w:pPr>
              <w:jc w:val="center"/>
            </w:pPr>
            <w:r>
              <w:t>0.05</w:t>
            </w:r>
          </w:p>
        </w:tc>
        <w:tc>
          <w:tcPr>
            <w:tcW w:type="dxa" w:w="3041"/>
          </w:tcPr>
          <w:p>
            <w:pPr>
              <w:jc w:val="center"/>
            </w:pPr>
            <w:r>
              <w:t>Conservador para evitar sobreajuste; compensado con early stopping</w:t>
            </w:r>
          </w:p>
        </w:tc>
      </w:tr>
      <w:tr>
        <w:tc>
          <w:tcPr>
            <w:tcW w:type="dxa" w:w="3041"/>
          </w:tcPr>
          <w:p>
            <w:pPr>
              <w:jc w:val="center"/>
            </w:pPr>
            <w:r>
              <w:t>min_child_samples</w:t>
            </w:r>
          </w:p>
        </w:tc>
        <w:tc>
          <w:tcPr>
            <w:tcW w:type="dxa" w:w="3041"/>
          </w:tcPr>
          <w:p>
            <w:pPr>
              <w:jc w:val="center"/>
            </w:pPr>
            <w:r>
              <w:t>10</w:t>
            </w:r>
          </w:p>
        </w:tc>
        <w:tc>
          <w:tcPr>
            <w:tcW w:type="dxa" w:w="3041"/>
          </w:tcPr>
          <w:p>
            <w:pPr>
              <w:jc w:val="center"/>
            </w:pPr>
            <w:r>
              <w:t>Mínimo de ejemplos por hoja; evita sobreajuste en grupos pequeños</w:t>
            </w:r>
          </w:p>
        </w:tc>
      </w:tr>
      <w:tr>
        <w:tc>
          <w:tcPr>
            <w:tcW w:type="dxa" w:w="3041"/>
          </w:tcPr>
          <w:p>
            <w:pPr>
              <w:jc w:val="center"/>
            </w:pPr>
            <w:r>
              <w:t>subsample</w:t>
            </w:r>
          </w:p>
        </w:tc>
        <w:tc>
          <w:tcPr>
            <w:tcW w:type="dxa" w:w="3041"/>
          </w:tcPr>
          <w:p>
            <w:pPr>
              <w:jc w:val="center"/>
            </w:pPr>
            <w:r>
              <w:t>0.8</w:t>
            </w:r>
          </w:p>
        </w:tc>
        <w:tc>
          <w:tcPr>
            <w:tcW w:type="dxa" w:w="3041"/>
          </w:tcPr>
          <w:p>
            <w:pPr>
              <w:jc w:val="center"/>
            </w:pPr>
            <w:r>
              <w:t>Bagging del 80% de filas por árbol; regularización implícita</w:t>
            </w:r>
          </w:p>
        </w:tc>
      </w:tr>
      <w:tr>
        <w:tc>
          <w:tcPr>
            <w:tcW w:type="dxa" w:w="3041"/>
          </w:tcPr>
          <w:p>
            <w:pPr>
              <w:jc w:val="center"/>
            </w:pPr>
            <w:r>
              <w:t>colsample_bytree</w:t>
            </w:r>
          </w:p>
        </w:tc>
        <w:tc>
          <w:tcPr>
            <w:tcW w:type="dxa" w:w="3041"/>
          </w:tcPr>
          <w:p>
            <w:pPr>
              <w:jc w:val="center"/>
            </w:pPr>
            <w:r>
              <w:t>0.8</w:t>
            </w:r>
          </w:p>
        </w:tc>
        <w:tc>
          <w:tcPr>
            <w:tcW w:type="dxa" w:w="3041"/>
          </w:tcPr>
          <w:p>
            <w:pPr>
              <w:jc w:val="center"/>
            </w:pPr>
            <w:r>
              <w:t>Selección aleatoria del 80% de features por árbol</w:t>
            </w:r>
          </w:p>
        </w:tc>
      </w:tr>
      <w:tr>
        <w:tc>
          <w:tcPr>
            <w:tcW w:type="dxa" w:w="3041"/>
          </w:tcPr>
          <w:p>
            <w:pPr>
              <w:jc w:val="center"/>
            </w:pPr>
            <w:r>
              <w:t>lambda_l1</w:t>
            </w:r>
          </w:p>
        </w:tc>
        <w:tc>
          <w:tcPr>
            <w:tcW w:type="dxa" w:w="3041"/>
          </w:tcPr>
          <w:p>
            <w:pPr>
              <w:jc w:val="center"/>
            </w:pPr>
            <w:r>
              <w:t>0.5</w:t>
            </w:r>
          </w:p>
        </w:tc>
        <w:tc>
          <w:tcPr>
            <w:tcW w:type="dxa" w:w="3041"/>
          </w:tcPr>
          <w:p>
            <w:pPr>
              <w:jc w:val="center"/>
            </w:pPr>
            <w:r>
              <w:t>Regularización L1; induce dispersión en pesos de features poco relevantes</w:t>
            </w:r>
          </w:p>
        </w:tc>
      </w:tr>
      <w:tr>
        <w:tc>
          <w:tcPr>
            <w:tcW w:type="dxa" w:w="3041"/>
          </w:tcPr>
          <w:p>
            <w:pPr>
              <w:jc w:val="center"/>
            </w:pPr>
            <w:r>
              <w:t>lambda_l2</w:t>
            </w:r>
          </w:p>
        </w:tc>
        <w:tc>
          <w:tcPr>
            <w:tcW w:type="dxa" w:w="3041"/>
          </w:tcPr>
          <w:p>
            <w:pPr>
              <w:jc w:val="center"/>
            </w:pPr>
            <w:r>
              <w:t>1.0</w:t>
            </w:r>
          </w:p>
        </w:tc>
        <w:tc>
          <w:tcPr>
            <w:tcW w:type="dxa" w:w="3041"/>
          </w:tcPr>
          <w:p>
            <w:pPr>
              <w:jc w:val="center"/>
            </w:pPr>
            <w:r>
              <w:t>Regularización L2; suaviza los pesos</w:t>
            </w:r>
          </w:p>
        </w:tc>
      </w:tr>
      <w:tr>
        <w:tc>
          <w:tcPr>
            <w:tcW w:type="dxa" w:w="3041"/>
          </w:tcPr>
          <w:p>
            <w:pPr>
              <w:jc w:val="center"/>
            </w:pPr>
            <w:r>
              <w:t>scale_pos_weight</w:t>
            </w:r>
          </w:p>
        </w:tc>
        <w:tc>
          <w:tcPr>
            <w:tcW w:type="dxa" w:w="3041"/>
          </w:tcPr>
          <w:p>
            <w:pPr>
              <w:jc w:val="center"/>
            </w:pPr>
            <w:r>
              <w:t>n_neg/n_pos</w:t>
            </w:r>
          </w:p>
        </w:tc>
        <w:tc>
          <w:tcPr>
            <w:tcW w:type="dxa" w:w="3041"/>
          </w:tcPr>
          <w:p>
            <w:pPr>
              <w:jc w:val="center"/>
            </w:pPr>
            <w:r>
              <w:t>Compensa desbalanceo de clases ~10-25× según dataset</w:t>
            </w:r>
          </w:p>
        </w:tc>
      </w:tr>
      <w:tr>
        <w:tc>
          <w:tcPr>
            <w:tcW w:type="dxa" w:w="3041"/>
          </w:tcPr>
          <w:p>
            <w:pPr>
              <w:jc w:val="center"/>
            </w:pPr>
            <w:r>
              <w:t>early_stopping_rounds</w:t>
            </w:r>
          </w:p>
        </w:tc>
        <w:tc>
          <w:tcPr>
            <w:tcW w:type="dxa" w:w="3041"/>
          </w:tcPr>
          <w:p>
            <w:pPr>
              <w:jc w:val="center"/>
            </w:pPr>
            <w:r>
              <w:t>20</w:t>
            </w:r>
          </w:p>
        </w:tc>
        <w:tc>
          <w:tcPr>
            <w:tcW w:type="dxa" w:w="3041"/>
          </w:tcPr>
          <w:p>
            <w:pPr>
              <w:jc w:val="center"/>
            </w:pPr>
            <w:r>
              <w:t>Paciencia antes de detener si no mejora el AUC en validación interna</w:t>
            </w:r>
          </w:p>
        </w:tc>
      </w:tr>
      <w:tr>
        <w:tc>
          <w:tcPr>
            <w:tcW w:type="dxa" w:w="3041"/>
          </w:tcPr>
          <w:p>
            <w:pPr>
              <w:jc w:val="center"/>
            </w:pPr>
            <w:r>
              <w:t>n_estimators</w:t>
            </w:r>
          </w:p>
        </w:tc>
        <w:tc>
          <w:tcPr>
            <w:tcW w:type="dxa" w:w="3041"/>
          </w:tcPr>
          <w:p>
            <w:pPr>
              <w:jc w:val="center"/>
            </w:pPr>
            <w:r>
              <w:t>500</w:t>
            </w:r>
          </w:p>
        </w:tc>
        <w:tc>
          <w:tcPr>
            <w:tcW w:type="dxa" w:w="3041"/>
          </w:tcPr>
          <w:p>
            <w:pPr>
              <w:jc w:val="center"/>
            </w:pPr>
            <w:r>
              <w:t>Límite máximo de árboles; en práctica, early stopping detiene antes</w:t>
            </w:r>
          </w:p>
        </w:tc>
      </w:tr>
    </w:tbl>
    <w:p/>
    <w:p>
      <w:pPr>
        <w:pStyle w:val="Heading2"/>
      </w:pPr>
      <w:r>
        <w:rPr>
          <w:color w:val="2E74B5"/>
        </w:rPr>
        <w:t>A.2. Configuración del sistema Cox PH (lifelines)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Parámetro</w:t>
            </w:r>
          </w:p>
        </w:tc>
        <w:tc>
          <w:tcPr>
            <w:tcW w:type="dxa" w:w="3041"/>
          </w:tcPr>
          <w:p>
            <w:pPr>
              <w:jc w:val="center"/>
            </w:pPr>
            <w:r>
              <w:rPr>
                <w:b/>
              </w:rPr>
              <w:t>Valor</w:t>
            </w:r>
          </w:p>
        </w:tc>
        <w:tc>
          <w:tcPr>
            <w:tcW w:type="dxa" w:w="3041"/>
          </w:tcPr>
          <w:p>
            <w:pPr>
              <w:jc w:val="center"/>
            </w:pPr>
            <w:r>
              <w:rPr>
                <w:b/>
              </w:rPr>
              <w:t>Justificación</w:t>
            </w:r>
          </w:p>
        </w:tc>
      </w:tr>
      <w:tr>
        <w:tc>
          <w:tcPr>
            <w:tcW w:type="dxa" w:w="3041"/>
          </w:tcPr>
          <w:p>
            <w:pPr>
              <w:jc w:val="center"/>
            </w:pPr>
            <w:r>
              <w:t>penalizer</w:t>
            </w:r>
          </w:p>
        </w:tc>
        <w:tc>
          <w:tcPr>
            <w:tcW w:type="dxa" w:w="3041"/>
          </w:tcPr>
          <w:p>
            <w:pPr>
              <w:jc w:val="center"/>
            </w:pPr>
            <w:r>
              <w:t>0.1</w:t>
            </w:r>
          </w:p>
        </w:tc>
        <w:tc>
          <w:tcPr>
            <w:tcW w:type="dxa" w:w="3041"/>
          </w:tcPr>
          <w:p>
            <w:pPr>
              <w:jc w:val="center"/>
            </w:pPr>
            <w:r>
              <w:t>Regularización L2 para estabilizar coeficientes con EPV bajo</w:t>
            </w:r>
          </w:p>
        </w:tc>
      </w:tr>
      <w:tr>
        <w:tc>
          <w:tcPr>
            <w:tcW w:type="dxa" w:w="3041"/>
          </w:tcPr>
          <w:p>
            <w:pPr>
              <w:jc w:val="center"/>
            </w:pPr>
            <w:r>
              <w:t>l1_ratio</w:t>
            </w:r>
          </w:p>
        </w:tc>
        <w:tc>
          <w:tcPr>
            <w:tcW w:type="dxa" w:w="3041"/>
          </w:tcPr>
          <w:p>
            <w:pPr>
              <w:jc w:val="center"/>
            </w:pPr>
            <w:r>
              <w:t>0.0</w:t>
            </w:r>
          </w:p>
        </w:tc>
        <w:tc>
          <w:tcPr>
            <w:tcW w:type="dxa" w:w="3041"/>
          </w:tcPr>
          <w:p>
            <w:pPr>
              <w:jc w:val="center"/>
            </w:pPr>
            <w:r>
              <w:t>Solo L2 (Ridge), no L1; mantiene todos los coeficientes en el modelo</w:t>
            </w:r>
          </w:p>
        </w:tc>
      </w:tr>
      <w:tr>
        <w:tc>
          <w:tcPr>
            <w:tcW w:type="dxa" w:w="3041"/>
          </w:tcPr>
          <w:p>
            <w:pPr>
              <w:jc w:val="center"/>
            </w:pPr>
            <w:r>
              <w:t>evento familias</w:t>
            </w:r>
          </w:p>
        </w:tc>
        <w:tc>
          <w:tcPr>
            <w:tcW w:type="dxa" w:w="3041"/>
          </w:tcPr>
          <w:p>
            <w:pPr>
              <w:jc w:val="center"/>
            </w:pPr>
            <w:r>
              <w:t>freq ≥ 10%</w:t>
            </w:r>
          </w:p>
        </w:tc>
        <w:tc>
          <w:tcPr>
            <w:tcW w:type="dxa" w:w="3041"/>
          </w:tcPr>
          <w:p>
            <w:pPr>
              <w:jc w:val="center"/>
            </w:pPr>
            <w:r>
              <w:t>Umbral operativo de dominancia pandémica</w:t>
            </w:r>
          </w:p>
        </w:tc>
      </w:tr>
      <w:tr>
        <w:tc>
          <w:tcPr>
            <w:tcW w:type="dxa" w:w="3041"/>
          </w:tcPr>
          <w:p>
            <w:pPr>
              <w:jc w:val="center"/>
            </w:pPr>
            <w:r>
              <w:t>evento mutaciones</w:t>
            </w:r>
          </w:p>
        </w:tc>
        <w:tc>
          <w:tcPr>
            <w:tcW w:type="dxa" w:w="3041"/>
          </w:tcPr>
          <w:p>
            <w:pPr>
              <w:jc w:val="center"/>
            </w:pPr>
            <w:r>
              <w:t>freq ≥ 30%</w:t>
            </w:r>
          </w:p>
        </w:tc>
        <w:tc>
          <w:tcPr>
            <w:tcW w:type="dxa" w:w="3041"/>
          </w:tcPr>
          <w:p>
            <w:pPr>
              <w:jc w:val="center"/>
            </w:pPr>
            <w:r>
              <w:t>Umbral más restrictivo para mutaciones individuales</w:t>
            </w:r>
          </w:p>
        </w:tc>
      </w:tr>
      <w:tr>
        <w:tc>
          <w:tcPr>
            <w:tcW w:type="dxa" w:w="3041"/>
          </w:tcPr>
          <w:p>
            <w:pPr>
              <w:jc w:val="center"/>
            </w:pPr>
            <w:r>
              <w:t>censura</w:t>
            </w:r>
          </w:p>
        </w:tc>
        <w:tc>
          <w:tcPr>
            <w:tcW w:type="dxa" w:w="3041"/>
          </w:tcPr>
          <w:p>
            <w:pPr>
              <w:jc w:val="center"/>
            </w:pPr>
            <w:r>
              <w:t>Fecha de corte de datos (2026-02-09)</w:t>
            </w:r>
          </w:p>
        </w:tc>
        <w:tc>
          <w:tcPr>
            <w:tcW w:type="dxa" w:w="3041"/>
          </w:tcPr>
          <w:p>
            <w:pPr>
              <w:jc w:val="center"/>
            </w:pPr>
            <w:r>
              <w:t>Variantes que no alcanzaron el umbral se censuran</w:t>
            </w:r>
          </w:p>
        </w:tc>
      </w:tr>
      <w:tr>
        <w:tc>
          <w:tcPr>
            <w:tcW w:type="dxa" w:w="3041"/>
          </w:tcPr>
          <w:p>
            <w:pPr>
              <w:jc w:val="center"/>
            </w:pPr>
            <w:r>
              <w:t>predict_partial_hazard</w:t>
            </w:r>
          </w:p>
        </w:tc>
        <w:tc>
          <w:tcPr>
            <w:tcW w:type="dxa" w:w="3041"/>
          </w:tcPr>
          <w:p>
            <w:pPr>
              <w:jc w:val="center"/>
            </w:pPr>
            <w:r>
              <w:t>Sí (no predict_median)</w:t>
            </w:r>
          </w:p>
        </w:tc>
        <w:tc>
          <w:tcPr>
            <w:tcW w:type="dxa" w:w="3041"/>
          </w:tcPr>
          <w:p>
            <w:pPr>
              <w:jc w:val="center"/>
            </w:pPr>
            <w:r>
              <w:t>Siempre finito; predict_median devuelve inf con EPV bajo</w:t>
            </w:r>
          </w:p>
        </w:tc>
      </w:tr>
    </w:tbl>
    <w:p/>
    <w:p>
      <w:pPr>
        <w:pStyle w:val="Heading2"/>
      </w:pPr>
      <w:r>
        <w:rPr>
          <w:color w:val="2E74B5"/>
        </w:rPr>
        <w:t>A.3. Datasets de modelos M3: esquema de construcción</w:t>
      </w:r>
    </w:p>
    <w:p>
      <w:r>
        <w:t>Para el modelo de mutaciones M3-SPNSP, el dataset se construye expandiendo la matriz de frecuencia de mutaciones a nivel (mutación, semana):</w:t>
      </w:r>
    </w:p>
    <w:p>
      <w:r>
        <w:t>1. Para cada semana t, se seleccionan las mutaciones activas (frecuencia &gt; 0.001 en ≥1 familia).</w:t>
      </w:r>
    </w:p>
    <w:p>
      <w:r>
        <w:t>2. Se calculan las features de dinámica temporal de cada mutación en esa semana (log_growth_4w, freq_std_8w, etc.).</w:t>
      </w:r>
    </w:p>
    <w:p>
      <w:r>
        <w:t>3. Se añaden las features de contexto genómico: position, is_spike, is_rbd, is_furin.</w:t>
      </w:r>
    </w:p>
    <w:p>
      <w:r>
        <w:t>4. Se calcula n_families como el número de familias Pango distintas que portan esa mutación en esa semana con freq &gt; 5%.</w:t>
      </w:r>
    </w:p>
    <w:p>
      <w:r>
        <w:t>5. La variable objetivo es 1 si la mutación alcanzó el 30% de frecuencia global en algún momento entre t+1 y t+4 (con censura en 2023-06-01 para el dataset de entrenamiento).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