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AA56" w14:textId="420BA8E4" w:rsidR="00842C9D" w:rsidRPr="00842C9D" w:rsidRDefault="00842C9D" w:rsidP="00842C9D">
      <w:pPr>
        <w:pStyle w:val="Ttulo"/>
        <w:jc w:val="center"/>
        <w:rPr>
          <w:rFonts w:ascii="Times New Roman" w:hAnsi="Times New Roman" w:cs="Times New Roman"/>
        </w:rPr>
      </w:pPr>
      <w:r w:rsidRPr="00842C9D">
        <w:rPr>
          <w:rFonts w:ascii="Times New Roman" w:hAnsi="Times New Roman" w:cs="Times New Roman"/>
        </w:rPr>
        <w:t xml:space="preserve">Sistema Predictivo de Variantes Emergentes de SARS-CoV-2 mediante Integración de Vigilancia Genómica Global y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Intrapaciente</w:t>
      </w:r>
      <w:proofErr w:type="spellEnd"/>
    </w:p>
    <w:p w14:paraId="44D68439" w14:textId="749B5A0B" w:rsidR="00842C9D" w:rsidRPr="00842C9D" w:rsidRDefault="00842C9D" w:rsidP="00842C9D">
      <w:pPr>
        <w:pStyle w:val="Subttulo"/>
        <w:jc w:val="center"/>
        <w:rPr>
          <w:rFonts w:ascii="Times New Roman" w:hAnsi="Times New Roman" w:cs="Times New Roman"/>
        </w:rPr>
      </w:pPr>
      <w:r w:rsidRPr="00842C9D">
        <w:rPr>
          <w:rFonts w:ascii="Times New Roman" w:hAnsi="Times New Roman" w:cs="Times New Roman"/>
        </w:rPr>
        <w:t>Trabajo de Fin de Máster</w:t>
      </w:r>
    </w:p>
    <w:p w14:paraId="7E20B4C1" w14:textId="47C35A22" w:rsidR="00842C9D" w:rsidRPr="00842C9D" w:rsidRDefault="00842C9D" w:rsidP="00842C9D">
      <w:pPr>
        <w:jc w:val="center"/>
        <w:rPr>
          <w:rFonts w:ascii="Times New Roman" w:hAnsi="Times New Roman" w:cs="Times New Roman"/>
          <w:sz w:val="28"/>
        </w:rPr>
      </w:pPr>
      <w:r w:rsidRPr="00842C9D">
        <w:rPr>
          <w:rFonts w:ascii="Times New Roman" w:hAnsi="Times New Roman" w:cs="Times New Roman"/>
          <w:sz w:val="28"/>
        </w:rPr>
        <w:t>Sergio López González del Rey</w:t>
      </w:r>
    </w:p>
    <w:p w14:paraId="4FF758E4" w14:textId="5F19F386" w:rsidR="00842C9D" w:rsidRPr="00842C9D" w:rsidRDefault="00842C9D" w:rsidP="00842C9D">
      <w:pPr>
        <w:jc w:val="center"/>
        <w:rPr>
          <w:rFonts w:ascii="Times New Roman" w:hAnsi="Times New Roman" w:cs="Times New Roman"/>
        </w:rPr>
      </w:pPr>
      <w:r w:rsidRPr="00842C9D">
        <w:rPr>
          <w:rFonts w:ascii="Times New Roman" w:hAnsi="Times New Roman" w:cs="Times New Roman"/>
        </w:rPr>
        <w:t>Mayo 2026</w:t>
      </w:r>
    </w:p>
    <w:p w14:paraId="7DCCB779" w14:textId="77777777" w:rsidR="00842C9D" w:rsidRPr="00842C9D" w:rsidRDefault="00842C9D" w:rsidP="00842C9D">
      <w:pPr>
        <w:rPr>
          <w:rFonts w:ascii="Times New Roman" w:hAnsi="Times New Roman" w:cs="Times New Roman"/>
        </w:rPr>
      </w:pPr>
    </w:p>
    <w:p w14:paraId="7B274B69" w14:textId="036DCBD4" w:rsidR="00842C9D" w:rsidRDefault="00842C9D">
      <w:r>
        <w:br w:type="page"/>
      </w:r>
    </w:p>
    <w:p w14:paraId="1AFA830B" w14:textId="1781FF76" w:rsidR="00842C9D" w:rsidRPr="00842C9D" w:rsidRDefault="00842C9D" w:rsidP="00387013">
      <w:pPr>
        <w:pStyle w:val="Ttulo1"/>
        <w:jc w:val="both"/>
        <w:rPr>
          <w:rFonts w:ascii="Times New Roman" w:hAnsi="Times New Roman" w:cs="Times New Roman"/>
        </w:rPr>
      </w:pPr>
      <w:r w:rsidRPr="00842C9D">
        <w:rPr>
          <w:rFonts w:ascii="Times New Roman" w:hAnsi="Times New Roman" w:cs="Times New Roman"/>
        </w:rPr>
        <w:lastRenderedPageBreak/>
        <w:t>Resumen</w:t>
      </w:r>
    </w:p>
    <w:p w14:paraId="27AD6B03" w14:textId="7229347B" w:rsidR="00842C9D" w:rsidRPr="00842C9D" w:rsidRDefault="00842C9D" w:rsidP="00387013">
      <w:pPr>
        <w:jc w:val="both"/>
        <w:rPr>
          <w:rFonts w:ascii="Times New Roman" w:hAnsi="Times New Roman" w:cs="Times New Roman"/>
        </w:rPr>
      </w:pPr>
      <w:r w:rsidRPr="00842C9D">
        <w:rPr>
          <w:rFonts w:ascii="Times New Roman" w:hAnsi="Times New Roman" w:cs="Times New Roman"/>
        </w:rPr>
        <w:t xml:space="preserve">Este trabajo presenta un sistema de predicción de variantes emergentes de SARS-CoV-2 que integra dos fuentes de información complementarias: la vigilancia genómica global (17,5 millones de secuencias de GISAID) y datos de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(UDS) de 28 pacientes con infección activa. El sistema transforma estos datos en 94 variables numéricas que describen la trayectoria dinámica de cada variante viral </w:t>
      </w:r>
      <w:r w:rsidR="00CB4EB6" w:rsidRPr="00CB4EB6">
        <w:rPr>
          <w:rFonts w:ascii="Times New Roman" w:hAnsi="Times New Roman" w:cs="Times New Roman"/>
        </w:rPr>
        <w:t>(</w:t>
      </w:r>
      <w:r w:rsidRPr="00842C9D">
        <w:rPr>
          <w:rFonts w:ascii="Times New Roman" w:hAnsi="Times New Roman" w:cs="Times New Roman"/>
        </w:rPr>
        <w:t>frecuencia, velocidad de crecimiento, dispersión geográfica y composición mutacional</w:t>
      </w:r>
      <w:r w:rsidR="00F46007" w:rsidRPr="00CB4EB6">
        <w:rPr>
          <w:rFonts w:ascii="Times New Roman" w:hAnsi="Times New Roman" w:cs="Times New Roman"/>
        </w:rPr>
        <w:t>)</w:t>
      </w:r>
      <w:r w:rsidRPr="00842C9D">
        <w:rPr>
          <w:rFonts w:ascii="Times New Roman" w:hAnsi="Times New Roman" w:cs="Times New Roman"/>
        </w:rPr>
        <w:t xml:space="preserve"> y entrena un modelo de machine </w:t>
      </w:r>
      <w:proofErr w:type="spellStart"/>
      <w:r w:rsidRPr="00842C9D">
        <w:rPr>
          <w:rFonts w:ascii="Times New Roman" w:hAnsi="Times New Roman" w:cs="Times New Roman"/>
        </w:rPr>
        <w:t>learning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LightGBM</w:t>
      </w:r>
      <w:proofErr w:type="spellEnd"/>
      <w:r w:rsidRPr="00842C9D">
        <w:rPr>
          <w:rFonts w:ascii="Times New Roman" w:hAnsi="Times New Roman" w:cs="Times New Roman"/>
        </w:rPr>
        <w:t>) para predecir qué clados expandirán su frecuencia en la semana siguiente.</w:t>
      </w:r>
    </w:p>
    <w:p w14:paraId="292E2E53" w14:textId="69EEBB30" w:rsidR="00842C9D" w:rsidRPr="00842C9D" w:rsidRDefault="00842C9D" w:rsidP="00387013">
      <w:pPr>
        <w:jc w:val="both"/>
        <w:rPr>
          <w:rFonts w:ascii="Times New Roman" w:hAnsi="Times New Roman" w:cs="Times New Roman"/>
        </w:rPr>
      </w:pPr>
      <w:r w:rsidRPr="00842C9D">
        <w:rPr>
          <w:rFonts w:ascii="Times New Roman" w:hAnsi="Times New Roman" w:cs="Times New Roman"/>
        </w:rPr>
        <w:t xml:space="preserve">El modelo alcanza un AUC de 0,82 en datos completamente fuera del período de entrenamiento, con validación </w:t>
      </w:r>
      <w:proofErr w:type="spellStart"/>
      <w:r w:rsidRPr="00842C9D">
        <w:rPr>
          <w:rFonts w:ascii="Times New Roman" w:hAnsi="Times New Roman" w:cs="Times New Roman"/>
        </w:rPr>
        <w:t>walk</w:t>
      </w:r>
      <w:proofErr w:type="spellEnd"/>
      <w:r w:rsidRPr="00842C9D">
        <w:rPr>
          <w:rFonts w:ascii="Times New Roman" w:hAnsi="Times New Roman" w:cs="Times New Roman"/>
        </w:rPr>
        <w:t>-forward a través de las cuatro transiciones pandémicas principales (</w:t>
      </w:r>
      <w:proofErr w:type="spellStart"/>
      <w:r w:rsidRPr="00842C9D">
        <w:rPr>
          <w:rFonts w:ascii="Times New Roman" w:hAnsi="Times New Roman" w:cs="Times New Roman"/>
        </w:rPr>
        <w:t>pre-VOC→Delta</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Delta→Omicron</w:t>
      </w:r>
      <w:proofErr w:type="spellEnd"/>
      <w:r w:rsidRPr="00842C9D">
        <w:rPr>
          <w:rFonts w:ascii="Times New Roman" w:hAnsi="Times New Roman" w:cs="Times New Roman"/>
        </w:rPr>
        <w:t xml:space="preserve"> BA.1, </w:t>
      </w:r>
      <w:proofErr w:type="spellStart"/>
      <w:r w:rsidRPr="00842C9D">
        <w:rPr>
          <w:rFonts w:ascii="Times New Roman" w:hAnsi="Times New Roman" w:cs="Times New Roman"/>
        </w:rPr>
        <w:t>Omicron</w:t>
      </w:r>
      <w:proofErr w:type="spellEnd"/>
      <w:r w:rsidRPr="00842C9D">
        <w:rPr>
          <w:rFonts w:ascii="Times New Roman" w:hAnsi="Times New Roman" w:cs="Times New Roman"/>
        </w:rPr>
        <w:t xml:space="preserve"> BA.1→BA.4/5+, BA.4/5+→Post-2023). La contribución más relevante del trabajo es la demostración de que los haplotipos minoritarios detectados por UDS anticipan la emergencia de variantes con un lead-time medio de </w:t>
      </w:r>
      <w:r w:rsidR="00173607" w:rsidRPr="00173607">
        <w:rPr>
          <w:rFonts w:ascii="Times New Roman" w:hAnsi="Times New Roman" w:cs="Times New Roman"/>
        </w:rPr>
        <w:t>~25</w:t>
      </w:r>
      <w:r w:rsidRPr="00842C9D">
        <w:rPr>
          <w:rFonts w:ascii="Times New Roman" w:hAnsi="Times New Roman" w:cs="Times New Roman"/>
        </w:rPr>
        <w:t xml:space="preserve"> semanas, alcanzando 50 semanas en el mejor caso documentado. La validación prospectiva real (febrero–</w:t>
      </w:r>
      <w:r w:rsidRPr="00DE4887">
        <w:rPr>
          <w:rFonts w:ascii="Times New Roman" w:hAnsi="Times New Roman" w:cs="Times New Roman"/>
          <w:szCs w:val="36"/>
        </w:rPr>
        <w:t>abril</w:t>
      </w:r>
      <w:r w:rsidRPr="006530D5">
        <w:rPr>
          <w:rFonts w:ascii="Times New Roman" w:hAnsi="Times New Roman" w:cs="Times New Roman"/>
          <w:sz w:val="36"/>
          <w:szCs w:val="36"/>
        </w:rPr>
        <w:t xml:space="preserve"> </w:t>
      </w:r>
      <w:r w:rsidRPr="00842C9D">
        <w:rPr>
          <w:rFonts w:ascii="Times New Roman" w:hAnsi="Times New Roman" w:cs="Times New Roman"/>
        </w:rPr>
        <w:t>2026) confirma que el sistema identifica correctamente las familias virales dominantes: XFG* (70% de frecuencia global) y XDV* (16,4%) estaban representadas en el top-15 del ranking.</w:t>
      </w:r>
    </w:p>
    <w:p w14:paraId="322B3507" w14:textId="50EFD396" w:rsidR="00842C9D" w:rsidRPr="00842C9D" w:rsidRDefault="00842C9D" w:rsidP="00387013">
      <w:pPr>
        <w:jc w:val="both"/>
        <w:rPr>
          <w:rFonts w:ascii="Times New Roman" w:hAnsi="Times New Roman" w:cs="Times New Roman"/>
        </w:rPr>
      </w:pPr>
      <w:r w:rsidRPr="00842C9D">
        <w:rPr>
          <w:rFonts w:ascii="Times New Roman" w:hAnsi="Times New Roman" w:cs="Times New Roman"/>
        </w:rPr>
        <w:t>Las principales limitaciones incluyen el tamaño reducido de la cohorte UDS (28 pacientes), el sesgo geográfico de GISAID, y la baja precisión operacional en producción (de cada 10 alertas, 7 son falsos positivos), que posiciona al sistema como herramienta de priorización de vigilancia, no como oráculo predictivo. Se proponen tres escenarios de utilidad futura: vigilancia epidemiológica prospectiva, selección de candidatos vacunales, y amplificación de programas UDS.</w:t>
      </w:r>
    </w:p>
    <w:p w14:paraId="6FF05EAC" w14:textId="77777777" w:rsidR="00D92BC4" w:rsidRPr="00D92BC4" w:rsidRDefault="00D92BC4" w:rsidP="00387013">
      <w:pPr>
        <w:jc w:val="both"/>
        <w:rPr>
          <w:rFonts w:ascii="Times New Roman" w:hAnsi="Times New Roman" w:cs="Times New Roman"/>
        </w:rPr>
      </w:pPr>
    </w:p>
    <w:p w14:paraId="26313CD0" w14:textId="32038D3E" w:rsidR="00D92BC4" w:rsidRDefault="00D92BC4" w:rsidP="00387013">
      <w:pPr>
        <w:jc w:val="both"/>
      </w:pPr>
      <w:r>
        <w:br w:type="page"/>
      </w:r>
    </w:p>
    <w:p w14:paraId="3DC1CE72" w14:textId="4F19B657" w:rsidR="00D92BC4" w:rsidRPr="00D92BC4" w:rsidRDefault="00D92BC4" w:rsidP="00387013">
      <w:pPr>
        <w:pStyle w:val="Ttulo1"/>
        <w:jc w:val="both"/>
        <w:rPr>
          <w:rFonts w:ascii="Times New Roman" w:hAnsi="Times New Roman" w:cs="Times New Roman"/>
        </w:rPr>
      </w:pPr>
      <w:r w:rsidRPr="00D92BC4">
        <w:rPr>
          <w:rFonts w:ascii="Times New Roman" w:hAnsi="Times New Roman" w:cs="Times New Roman"/>
        </w:rPr>
        <w:lastRenderedPageBreak/>
        <w:t>1. Introducción</w:t>
      </w:r>
    </w:p>
    <w:p w14:paraId="2F7419AB" w14:textId="14098586"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1.1 Contexto biológico</w:t>
      </w:r>
    </w:p>
    <w:p w14:paraId="50C34BCC" w14:textId="7B3CFF09"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pandemia de SARS-CoV-2 ha puesto de manifiesto la necesidad de sistemas de vigilancia genómica capaces de anticipar la emergencia de nuevas variantes virales. Desde 2020, el virus ha experimentado una evolución acelerada impulsada por la presión selectiva de la inmunidad poblacional (natural y vacunal), generando sucesivas oleadas pandémicas dominadas por variantes con ventajas de transmisibilidad y/o evasión inmune: D614G, Alpha, Delta, </w:t>
      </w:r>
      <w:proofErr w:type="spellStart"/>
      <w:r w:rsidRPr="00D92BC4">
        <w:rPr>
          <w:rFonts w:ascii="Times New Roman" w:hAnsi="Times New Roman" w:cs="Times New Roman"/>
        </w:rPr>
        <w:t>Omicron</w:t>
      </w:r>
      <w:proofErr w:type="spellEnd"/>
      <w:r w:rsidRPr="00D92BC4">
        <w:rPr>
          <w:rFonts w:ascii="Times New Roman" w:hAnsi="Times New Roman" w:cs="Times New Roman"/>
        </w:rPr>
        <w:t xml:space="preserve"> y sus numerosos </w:t>
      </w:r>
      <w:proofErr w:type="spellStart"/>
      <w:r w:rsidRPr="00D92BC4">
        <w:rPr>
          <w:rFonts w:ascii="Times New Roman" w:hAnsi="Times New Roman" w:cs="Times New Roman"/>
        </w:rPr>
        <w:t>sublinajes</w:t>
      </w:r>
      <w:proofErr w:type="spellEnd"/>
      <w:r w:rsidRPr="00D92BC4">
        <w:rPr>
          <w:rFonts w:ascii="Times New Roman" w:hAnsi="Times New Roman" w:cs="Times New Roman"/>
        </w:rPr>
        <w:t>.</w:t>
      </w:r>
    </w:p>
    <w:p w14:paraId="1E842AC1" w14:textId="18C2205B"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vigilancia genómica convencional, basada en la secuenciación Sanger o NGS estándar (~100x de profundidad), asigna a cada muestra un único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consenso y deposita la secuencia en repositorios globales como GISAID. Este enfoque detecta variantes emergentes solo cuando alcanzan frecuencias poblacionales suficientes para ser muestreadas (típicamente &gt;1-3% de las secuencias semanales), lo que introduce un retraso inherente de semanas a meses entre la aparición real de una variante y su detección por la vigilancia.</w:t>
      </w:r>
    </w:p>
    <w:p w14:paraId="01A3B35D" w14:textId="3BC876FF"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El Ultra-Deep </w:t>
      </w:r>
      <w:proofErr w:type="spellStart"/>
      <w:r w:rsidRPr="00D92BC4">
        <w:rPr>
          <w:rFonts w:ascii="Times New Roman" w:hAnsi="Times New Roman" w:cs="Times New Roman"/>
        </w:rPr>
        <w:t>Sequencing</w:t>
      </w:r>
      <w:proofErr w:type="spellEnd"/>
      <w:r w:rsidRPr="00D92BC4">
        <w:rPr>
          <w:rFonts w:ascii="Times New Roman" w:hAnsi="Times New Roman" w:cs="Times New Roman"/>
        </w:rPr>
        <w:t xml:space="preserve"> (UDS) ofrece una perspectiva complementaria: al secuenciar cada molécula de RNA individualmente con profundidades de miles a decenas de miles de lecturas por posición, permite detectar variantes minoritarias que representan menos del 1% de la población viral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La teoría de </w:t>
      </w:r>
      <w:proofErr w:type="spellStart"/>
      <w:r w:rsidRPr="00D92BC4">
        <w:rPr>
          <w:rFonts w:ascii="Times New Roman" w:hAnsi="Times New Roman" w:cs="Times New Roman"/>
        </w:rPr>
        <w:t>cuasiespecies</w:t>
      </w:r>
      <w:proofErr w:type="spellEnd"/>
      <w:r w:rsidRPr="00D92BC4">
        <w:rPr>
          <w:rFonts w:ascii="Times New Roman" w:hAnsi="Times New Roman" w:cs="Times New Roman"/>
        </w:rPr>
        <w:t xml:space="preserve"> (Domingo &amp; Perales, 2021) predice que el espectro mutacional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cubre aproximadamente el 85% de las variaciones que posteriormente aparecerán en la población global, ya que el virus explora continuamente el espacio mutacional dentro de cada hospedador.</w:t>
      </w:r>
    </w:p>
    <w:p w14:paraId="088087AA" w14:textId="45E12AAC"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1.2 Hipótesis</w:t>
      </w:r>
    </w:p>
    <w:p w14:paraId="232921C6" w14:textId="75BC7167" w:rsidR="00D92BC4" w:rsidRPr="00D92BC4" w:rsidRDefault="00D92BC4" w:rsidP="00387013">
      <w:pPr>
        <w:jc w:val="both"/>
        <w:rPr>
          <w:rFonts w:ascii="Times New Roman" w:hAnsi="Times New Roman" w:cs="Times New Roman"/>
        </w:rPr>
      </w:pPr>
      <w:r w:rsidRPr="00D92BC4">
        <w:rPr>
          <w:rFonts w:ascii="Times New Roman" w:hAnsi="Times New Roman" w:cs="Times New Roman"/>
        </w:rPr>
        <w:t>Este trabajo parte de una hipótesis central: los haplotipos discordantes detectados por UDS en pacientes con infección activa por SARS-CoV-2</w:t>
      </w:r>
      <w:r w:rsidR="00CB4EB6" w:rsidRPr="00CB4EB6">
        <w:rPr>
          <w:rFonts w:ascii="Times New Roman" w:hAnsi="Times New Roman" w:cs="Times New Roman"/>
        </w:rPr>
        <w:t xml:space="preserve">, es decir, </w:t>
      </w:r>
      <w:r w:rsidRPr="00D92BC4">
        <w:rPr>
          <w:rFonts w:ascii="Times New Roman" w:hAnsi="Times New Roman" w:cs="Times New Roman"/>
        </w:rPr>
        <w:t xml:space="preserve">aquellos cuyas mutaciones son características de un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distinto al del aislado principal</w:t>
      </w:r>
      <w:r w:rsidR="00CB4EB6" w:rsidRPr="00CB4EB6">
        <w:rPr>
          <w:rFonts w:ascii="Times New Roman" w:hAnsi="Times New Roman" w:cs="Times New Roman"/>
        </w:rPr>
        <w:t>,</w:t>
      </w:r>
      <w:r w:rsidRPr="00D92BC4">
        <w:rPr>
          <w:rFonts w:ascii="Times New Roman" w:hAnsi="Times New Roman" w:cs="Times New Roman"/>
        </w:rPr>
        <w:t xml:space="preserve"> contienen información predictiva sobre qué variantes emergerán como dominantes en las semanas siguientes. Si esta hipótesis es correcta, la integración de datos UDS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con la dinámica poblacional global de GISAID debería mejorar la capacidad de un sistema predictivo basado en machine </w:t>
      </w:r>
      <w:proofErr w:type="spellStart"/>
      <w:r w:rsidRPr="00D92BC4">
        <w:rPr>
          <w:rFonts w:ascii="Times New Roman" w:hAnsi="Times New Roman" w:cs="Times New Roman"/>
        </w:rPr>
        <w:t>learning</w:t>
      </w:r>
      <w:proofErr w:type="spellEnd"/>
      <w:r w:rsidRPr="00D92BC4">
        <w:rPr>
          <w:rFonts w:ascii="Times New Roman" w:hAnsi="Times New Roman" w:cs="Times New Roman"/>
        </w:rPr>
        <w:t xml:space="preserve"> para identificar variantes emergentes.</w:t>
      </w:r>
    </w:p>
    <w:p w14:paraId="1A3BDF08" w14:textId="05E7E93C" w:rsidR="00D92BC4" w:rsidRPr="00F54A14" w:rsidRDefault="00D92BC4" w:rsidP="00387013">
      <w:pPr>
        <w:pStyle w:val="Ttulo2"/>
        <w:jc w:val="both"/>
        <w:rPr>
          <w:rFonts w:ascii="Times New Roman" w:hAnsi="Times New Roman" w:cs="Times New Roman"/>
        </w:rPr>
      </w:pPr>
      <w:r w:rsidRPr="00F54A14">
        <w:rPr>
          <w:rFonts w:ascii="Times New Roman" w:hAnsi="Times New Roman" w:cs="Times New Roman"/>
        </w:rPr>
        <w:t>1.3 Objetivos</w:t>
      </w:r>
    </w:p>
    <w:p w14:paraId="5DC95109" w14:textId="0F36BA1D"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Construir un sistema de predicción de variantes emergentes de SARS-CoV-2 basado en machine </w:t>
      </w:r>
      <w:proofErr w:type="spellStart"/>
      <w:r w:rsidRPr="00F54A14">
        <w:rPr>
          <w:rFonts w:ascii="Times New Roman" w:hAnsi="Times New Roman" w:cs="Times New Roman"/>
        </w:rPr>
        <w:t>learning</w:t>
      </w:r>
      <w:proofErr w:type="spellEnd"/>
      <w:r w:rsidRPr="00F54A14">
        <w:rPr>
          <w:rFonts w:ascii="Times New Roman" w:hAnsi="Times New Roman" w:cs="Times New Roman"/>
        </w:rPr>
        <w:t>, entrenado con datos de vigilancia genómica global (GISAID).</w:t>
      </w:r>
    </w:p>
    <w:p w14:paraId="164276EC" w14:textId="0ED8F28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Cuantificar la contribución de los datos de Ultra-Deep </w:t>
      </w:r>
      <w:proofErr w:type="spellStart"/>
      <w:r w:rsidRPr="00F54A14">
        <w:rPr>
          <w:rFonts w:ascii="Times New Roman" w:hAnsi="Times New Roman" w:cs="Times New Roman"/>
        </w:rPr>
        <w:t>Sequencing</w:t>
      </w:r>
      <w:proofErr w:type="spellEnd"/>
      <w:r w:rsidRPr="00F54A14">
        <w:rPr>
          <w:rFonts w:ascii="Times New Roman" w:hAnsi="Times New Roman" w:cs="Times New Roman"/>
        </w:rPr>
        <w:t xml:space="preserve">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al rendimiento predictivo del modelo.</w:t>
      </w:r>
    </w:p>
    <w:p w14:paraId="22276F77" w14:textId="5DEBE09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Validar la capacidad del UDS como sistema de alerta temprana mediante el cálculo del lead-time entre la detección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y la emergencia poblacional.</w:t>
      </w:r>
    </w:p>
    <w:p w14:paraId="2A2491E2" w14:textId="57FD4B50"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Evaluar la coherencia biológica de las predicciones del modelo mediante análisis de interpretabilidad SHAP.</w:t>
      </w:r>
    </w:p>
    <w:p w14:paraId="320C447E" w14:textId="1BAC56F7"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lastRenderedPageBreak/>
        <w:t>Realizar una validación prospectiva real del sistema con datos de febrero–</w:t>
      </w:r>
      <w:r w:rsidRPr="00DE4887">
        <w:rPr>
          <w:rFonts w:ascii="Times New Roman" w:hAnsi="Times New Roman" w:cs="Times New Roman"/>
          <w:szCs w:val="36"/>
        </w:rPr>
        <w:t>abril</w:t>
      </w:r>
      <w:r w:rsidRPr="00F54A14">
        <w:rPr>
          <w:rFonts w:ascii="Times New Roman" w:hAnsi="Times New Roman" w:cs="Times New Roman"/>
        </w:rPr>
        <w:t xml:space="preserve"> de 2026.</w:t>
      </w:r>
    </w:p>
    <w:p w14:paraId="6D21BD12" w14:textId="77777777" w:rsidR="00AB4DFB" w:rsidRPr="00AB4DFB" w:rsidRDefault="00AB4DFB" w:rsidP="00387013">
      <w:pPr>
        <w:jc w:val="both"/>
        <w:rPr>
          <w:rFonts w:ascii="Times New Roman" w:hAnsi="Times New Roman" w:cs="Times New Roman"/>
        </w:rPr>
      </w:pPr>
    </w:p>
    <w:p w14:paraId="4D4E45AF" w14:textId="5CE275B4" w:rsidR="00AB4DFB" w:rsidRDefault="00AB4DFB" w:rsidP="00387013">
      <w:pPr>
        <w:jc w:val="both"/>
      </w:pPr>
      <w:r>
        <w:br w:type="page"/>
      </w:r>
    </w:p>
    <w:p w14:paraId="406E3F64" w14:textId="6082AF5A" w:rsidR="00AB4DFB" w:rsidRPr="00AB4DFB" w:rsidRDefault="00AB4DFB" w:rsidP="00387013">
      <w:pPr>
        <w:pStyle w:val="Ttulo1"/>
        <w:jc w:val="both"/>
        <w:rPr>
          <w:rFonts w:ascii="Times New Roman" w:hAnsi="Times New Roman" w:cs="Times New Roman"/>
        </w:rPr>
      </w:pPr>
      <w:r w:rsidRPr="00AB4DFB">
        <w:rPr>
          <w:rFonts w:ascii="Times New Roman" w:hAnsi="Times New Roman" w:cs="Times New Roman"/>
        </w:rPr>
        <w:lastRenderedPageBreak/>
        <w:t>2. Materiales y datos</w:t>
      </w:r>
    </w:p>
    <w:p w14:paraId="2F397EF6" w14:textId="4BC866E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2.1 GISAID: base de conocimiento global</w:t>
      </w:r>
    </w:p>
    <w:p w14:paraId="7042B911" w14:textId="2B482628"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fuente principal de datos son 17,5 millones de secuencias genómicas de SARS-CoV-2 depositadas en GISAID hasta febrero de 2026, correspondientes a las proteínas NSP12 (RNA polimerasa dependiente de RNA, ~17,5 millones de secuencias) y Spike (proteína de entrada al hospedador, ~16 millones de secuencias). Cada secuencia incluye metadatos asociados: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fecha de colección y país de origen.</w:t>
      </w:r>
    </w:p>
    <w:p w14:paraId="5710782C" w14:textId="22526FB3"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El volumen de datos no es arbitrario: el SARS-CoV-2 circula simultáneamente en cientos de variantes en todo el mundo, y para identificar qué patrones en la evolución genómica predicen la dominancia futura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se necesita observar el comportamiento real de cientos de clados a lo largo de cinco años de pandemia, en decenas de países, semana a semana. Los archivos originales superan los 5 GB y se procesan en </w:t>
      </w:r>
      <w:proofErr w:type="spellStart"/>
      <w:r w:rsidRPr="00AB4DFB">
        <w:rPr>
          <w:rFonts w:ascii="Times New Roman" w:hAnsi="Times New Roman" w:cs="Times New Roman"/>
        </w:rPr>
        <w:t>streaming</w:t>
      </w:r>
      <w:proofErr w:type="spellEnd"/>
      <w:r w:rsidRPr="00AB4DFB">
        <w:rPr>
          <w:rFonts w:ascii="Times New Roman" w:hAnsi="Times New Roman" w:cs="Times New Roman"/>
        </w:rPr>
        <w:t xml:space="preserve"> (bloques de 1.000 secuencias) mediante alineamiento contra la referencia Wuhan-Hu-1, generando matrices de frecuencia de mutaciones aminoacídicas por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y semana almacenadas en formato Parquet.</w:t>
      </w:r>
    </w:p>
    <w:p w14:paraId="75FABC4F" w14:textId="2F1714D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 xml:space="preserve">2.2 Ultra-Deep </w:t>
      </w:r>
      <w:proofErr w:type="spellStart"/>
      <w:r w:rsidRPr="00AB4DFB">
        <w:rPr>
          <w:rFonts w:ascii="Times New Roman" w:hAnsi="Times New Roman" w:cs="Times New Roman"/>
        </w:rPr>
        <w:t>Sequencing</w:t>
      </w:r>
      <w:proofErr w:type="spellEnd"/>
      <w:r w:rsidRPr="00AB4DFB">
        <w:rPr>
          <w:rFonts w:ascii="Times New Roman" w:hAnsi="Times New Roman" w:cs="Times New Roman"/>
        </w:rPr>
        <w:t xml:space="preserve"> (UDS): ventana </w:t>
      </w:r>
      <w:proofErr w:type="spellStart"/>
      <w:r w:rsidRPr="00AB4DFB">
        <w:rPr>
          <w:rFonts w:ascii="Times New Roman" w:hAnsi="Times New Roman" w:cs="Times New Roman"/>
        </w:rPr>
        <w:t>intrapaciente</w:t>
      </w:r>
      <w:proofErr w:type="spellEnd"/>
    </w:p>
    <w:p w14:paraId="75699BAB" w14:textId="5ADB9B15"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segunda fuente de datos son 28 pacientes del estudio de UDS (2020–2023) con infección activa por SARS-CoV-2, procesados a partir del archivo Excel </w:t>
      </w:r>
      <w:r w:rsidR="00173607" w:rsidRPr="00173607">
        <w:rPr>
          <w:rFonts w:ascii="Times New Roman" w:hAnsi="Times New Roman" w:cs="Times New Roman"/>
        </w:rPr>
        <w:t xml:space="preserve">que contiene los haplotipos discordantes de </w:t>
      </w:r>
      <w:proofErr w:type="spellStart"/>
      <w:r w:rsidR="00173607" w:rsidRPr="00173607">
        <w:rPr>
          <w:rFonts w:ascii="Times New Roman" w:hAnsi="Times New Roman" w:cs="Times New Roman"/>
        </w:rPr>
        <w:t>clado</w:t>
      </w:r>
      <w:proofErr w:type="spellEnd"/>
      <w:r w:rsidR="00173607" w:rsidRPr="00173607">
        <w:rPr>
          <w:rFonts w:ascii="Times New Roman" w:hAnsi="Times New Roman" w:cs="Times New Roman"/>
        </w:rPr>
        <w:t>, actualizado a</w:t>
      </w:r>
      <w:r w:rsidR="00EC08D5">
        <w:rPr>
          <w:rFonts w:ascii="Times New Roman" w:hAnsi="Times New Roman" w:cs="Times New Roman"/>
        </w:rPr>
        <w:t xml:space="preserve"> febrero de 2026</w:t>
      </w:r>
      <w:r w:rsidRPr="00AB4DFB">
        <w:rPr>
          <w:rFonts w:ascii="Times New Roman" w:hAnsi="Times New Roman" w:cs="Times New Roman"/>
        </w:rPr>
        <w:t xml:space="preserve">. El UDS secuencia cada molécula de RNA individualmente con profundidades de cobertura de miles a decenas de miles de lecturas por posición, frente a las ~100x habituales de la secuenciación estándar. Esto permite detectar variantes virales que representan menos del 1% de la población viral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w:t>
      </w:r>
    </w:p>
    <w:p w14:paraId="1AE69083" w14:textId="0B641C19"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De cada paciente se extraen los haplotipos discordantes: aquellos cuyas mutaciones son características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xml:space="preserve"> distinto al del aislado principal. Cada haplotipo se caracteriza por su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predicho (</w:t>
      </w:r>
      <w:proofErr w:type="spellStart"/>
      <w:r w:rsidRPr="00AB4DFB">
        <w:rPr>
          <w:rFonts w:ascii="Times New Roman" w:hAnsi="Times New Roman" w:cs="Times New Roman"/>
        </w:rPr>
        <w:t>discordant_clade</w:t>
      </w:r>
      <w:proofErr w:type="spellEnd"/>
      <w:r w:rsidRPr="00AB4DFB">
        <w:rPr>
          <w:rFonts w:ascii="Times New Roman" w:hAnsi="Times New Roman" w:cs="Times New Roman"/>
        </w:rPr>
        <w:t xml:space="preserve">), su frecuencia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frequency_pct</w:t>
      </w:r>
      <w:proofErr w:type="spellEnd"/>
      <w:r w:rsidRPr="00AB4DFB">
        <w:rPr>
          <w:rFonts w:ascii="Times New Roman" w:hAnsi="Times New Roman" w:cs="Times New Roman"/>
        </w:rPr>
        <w:t xml:space="preserve">, típicamente 1–5%) y la métrica clave del estudio: el lead-time, definido como la diferencia en semanas entre la detección del haplotipo en el paciente y el momento en que ese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alcanzó ≥3% de frecuencia global en GISAID.</w:t>
      </w:r>
    </w:p>
    <w:p w14:paraId="21AC2A56" w14:textId="22C1272E" w:rsidR="00AB4DFB" w:rsidRPr="00AB4DFB" w:rsidRDefault="00AB4DFB" w:rsidP="00387013">
      <w:pPr>
        <w:jc w:val="both"/>
        <w:rPr>
          <w:rFonts w:ascii="Times New Roman" w:hAnsi="Times New Roman" w:cs="Times New Roman"/>
        </w:rPr>
      </w:pPr>
      <w:r w:rsidRPr="00AB4DFB">
        <w:rPr>
          <w:rFonts w:ascii="Times New Roman" w:hAnsi="Times New Roman" w:cs="Times New Roman"/>
        </w:rPr>
        <w:t>A partir de estos datos se calcula el IPE score (Índice de Predicción Epidémica), una puntuación ponderada basada en la importancia del haplotipo según prioridades definidas por expertos clínicos (P1–P3), que cuantifica la señal de alerta temprana de cada paciente.</w:t>
      </w:r>
    </w:p>
    <w:p w14:paraId="37434425" w14:textId="77777777" w:rsidR="009A1D02" w:rsidRPr="009A1D02" w:rsidRDefault="009A1D02" w:rsidP="00387013">
      <w:pPr>
        <w:jc w:val="both"/>
        <w:rPr>
          <w:rFonts w:ascii="Times New Roman" w:hAnsi="Times New Roman" w:cs="Times New Roman"/>
        </w:rPr>
      </w:pPr>
    </w:p>
    <w:p w14:paraId="76CA628A" w14:textId="758C3F09" w:rsidR="009A1D02" w:rsidRDefault="009A1D02" w:rsidP="00387013">
      <w:pPr>
        <w:jc w:val="both"/>
      </w:pPr>
      <w:r>
        <w:br w:type="page"/>
      </w:r>
    </w:p>
    <w:p w14:paraId="2C8C4DD2" w14:textId="1D924895" w:rsidR="009A1D02" w:rsidRPr="009A1D02" w:rsidRDefault="009A1D02" w:rsidP="00387013">
      <w:pPr>
        <w:pStyle w:val="Ttulo1"/>
        <w:jc w:val="both"/>
        <w:rPr>
          <w:rFonts w:ascii="Times New Roman" w:hAnsi="Times New Roman" w:cs="Times New Roman"/>
        </w:rPr>
      </w:pPr>
      <w:r w:rsidRPr="009A1D02">
        <w:rPr>
          <w:rFonts w:ascii="Times New Roman" w:hAnsi="Times New Roman" w:cs="Times New Roman"/>
        </w:rPr>
        <w:lastRenderedPageBreak/>
        <w:t>3. Metodología</w:t>
      </w:r>
    </w:p>
    <w:p w14:paraId="1C6DD681" w14:textId="3CCAD45A" w:rsidR="009A1D02" w:rsidRPr="009A1D02" w:rsidRDefault="009A1D02" w:rsidP="00387013">
      <w:pPr>
        <w:pStyle w:val="Ttulo2"/>
        <w:jc w:val="both"/>
        <w:rPr>
          <w:rFonts w:ascii="Times New Roman" w:hAnsi="Times New Roman" w:cs="Times New Roman"/>
        </w:rPr>
      </w:pPr>
      <w:r w:rsidRPr="009A1D02">
        <w:rPr>
          <w:rFonts w:ascii="Times New Roman" w:hAnsi="Times New Roman" w:cs="Times New Roman"/>
        </w:rPr>
        <w:t xml:space="preserve">3.1 </w:t>
      </w:r>
      <w:proofErr w:type="spellStart"/>
      <w:r w:rsidRPr="009A1D02">
        <w:rPr>
          <w:rFonts w:ascii="Times New Roman" w:hAnsi="Times New Roman" w:cs="Times New Roman"/>
        </w:rPr>
        <w:t>Feature</w:t>
      </w:r>
      <w:proofErr w:type="spellEnd"/>
      <w:r w:rsidRPr="009A1D02">
        <w:rPr>
          <w:rFonts w:ascii="Times New Roman" w:hAnsi="Times New Roman" w:cs="Times New Roman"/>
        </w:rPr>
        <w:t xml:space="preserve"> </w:t>
      </w:r>
      <w:proofErr w:type="spellStart"/>
      <w:r w:rsidRPr="009A1D02">
        <w:rPr>
          <w:rFonts w:ascii="Times New Roman" w:hAnsi="Times New Roman" w:cs="Times New Roman"/>
        </w:rPr>
        <w:t>engineering</w:t>
      </w:r>
      <w:proofErr w:type="spellEnd"/>
    </w:p>
    <w:p w14:paraId="00D0DBBE" w14:textId="27E18753" w:rsidR="009A1D02" w:rsidRPr="009A1D02" w:rsidRDefault="009A1D02" w:rsidP="00387013">
      <w:pPr>
        <w:jc w:val="both"/>
        <w:rPr>
          <w:rFonts w:ascii="Times New Roman" w:hAnsi="Times New Roman" w:cs="Times New Roman"/>
        </w:rPr>
      </w:pPr>
      <w:r w:rsidRPr="009A1D02">
        <w:rPr>
          <w:rFonts w:ascii="Times New Roman" w:hAnsi="Times New Roman" w:cs="Times New Roman"/>
        </w:rPr>
        <w:t>La unidad de análisis del modelo es el par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semana): un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concreto en una semana concreta. Para cada par, el modelo responde a una pregunta binaria: </w:t>
      </w:r>
      <w:r w:rsidR="00205D68" w:rsidRPr="00205D68">
        <w:rPr>
          <w:rFonts w:ascii="Times New Roman" w:hAnsi="Times New Roman" w:cs="Times New Roman"/>
        </w:rPr>
        <w:t xml:space="preserve">¿crecerá este </w:t>
      </w:r>
      <w:proofErr w:type="spellStart"/>
      <w:r w:rsidR="00205D68" w:rsidRPr="00205D68">
        <w:rPr>
          <w:rFonts w:ascii="Times New Roman" w:hAnsi="Times New Roman" w:cs="Times New Roman"/>
        </w:rPr>
        <w:t>clado</w:t>
      </w:r>
      <w:proofErr w:type="spellEnd"/>
      <w:r w:rsidR="00205D68" w:rsidRPr="00205D68">
        <w:rPr>
          <w:rFonts w:ascii="Times New Roman" w:hAnsi="Times New Roman" w:cs="Times New Roman"/>
        </w:rPr>
        <w:t xml:space="preserve"> un 50% en términos relativos Y superará el 0.5% de frecuencia global en las próximas 4 semanas?</w:t>
      </w:r>
      <w:r w:rsidR="00205D68">
        <w:rPr>
          <w:rFonts w:ascii="Times New Roman" w:hAnsi="Times New Roman" w:cs="Times New Roman"/>
        </w:rPr>
        <w:t xml:space="preserve"> </w:t>
      </w:r>
      <w:r w:rsidRPr="009A1D02">
        <w:rPr>
          <w:rFonts w:ascii="Times New Roman" w:hAnsi="Times New Roman" w:cs="Times New Roman"/>
        </w:rPr>
        <w:t>En total se construyen 69.363 observaciones, que abarcan desde febrero de 2020 hasta principios de 2026. De estas, 3.337 son positivas (4,8%), reflejando la realidad biológica de que en cualquier semana dada solo unos pocos clados están en expansión activa.</w:t>
      </w:r>
    </w:p>
    <w:p w14:paraId="01F603DF" w14:textId="77777777" w:rsidR="007F1EAA" w:rsidRDefault="009A1D02" w:rsidP="00387013">
      <w:pPr>
        <w:jc w:val="both"/>
        <w:rPr>
          <w:rFonts w:ascii="Times New Roman" w:hAnsi="Times New Roman" w:cs="Times New Roman"/>
        </w:rPr>
      </w:pPr>
      <w:r w:rsidRPr="009A1D02">
        <w:rPr>
          <w:rFonts w:ascii="Times New Roman" w:hAnsi="Times New Roman" w:cs="Times New Roman"/>
        </w:rPr>
        <w:t>Para cada par (</w:t>
      </w:r>
      <w:proofErr w:type="spellStart"/>
      <w:r w:rsidRPr="009A1D02">
        <w:rPr>
          <w:rFonts w:ascii="Times New Roman" w:hAnsi="Times New Roman" w:cs="Times New Roman"/>
        </w:rPr>
        <w:t>clado</w:t>
      </w:r>
      <w:proofErr w:type="spellEnd"/>
      <w:r w:rsidRPr="009A1D02">
        <w:rPr>
          <w:rFonts w:ascii="Times New Roman" w:hAnsi="Times New Roman" w:cs="Times New Roman"/>
        </w:rPr>
        <w:t>, semana) se calculan 94 variables de entrada, organizadas en tres grupos:</w:t>
      </w:r>
    </w:p>
    <w:p w14:paraId="27515D7E" w14:textId="2D08B3B3" w:rsidR="00EA7E4F" w:rsidRPr="000A1FB6" w:rsidRDefault="00EA7E4F" w:rsidP="00EA7E4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1</w:t>
      </w:r>
      <w:r w:rsidRPr="000A1FB6">
        <w:rPr>
          <w:rFonts w:ascii="Times New Roman" w:hAnsi="Times New Roman" w:cs="Times New Roman"/>
        </w:rPr>
        <w:fldChar w:fldCharType="end"/>
      </w:r>
      <w:r w:rsidRPr="000A1FB6">
        <w:rPr>
          <w:rFonts w:ascii="Times New Roman" w:hAnsi="Times New Roman" w:cs="Times New Roman"/>
        </w:rPr>
        <w:t xml:space="preserve"> - Grupos de variables del modelo predictivo.</w:t>
      </w:r>
    </w:p>
    <w:tbl>
      <w:tblPr>
        <w:tblStyle w:val="Tablaconcuadrcula"/>
        <w:tblW w:w="8599" w:type="dxa"/>
        <w:tblLook w:val="04A0" w:firstRow="1" w:lastRow="0" w:firstColumn="1" w:lastColumn="0" w:noHBand="0" w:noVBand="1"/>
      </w:tblPr>
      <w:tblGrid>
        <w:gridCol w:w="2866"/>
        <w:gridCol w:w="2866"/>
        <w:gridCol w:w="2867"/>
      </w:tblGrid>
      <w:tr w:rsidR="00C64F68" w14:paraId="0248E59E" w14:textId="77777777" w:rsidTr="00E361DB">
        <w:trPr>
          <w:trHeight w:val="639"/>
        </w:trPr>
        <w:tc>
          <w:tcPr>
            <w:tcW w:w="2866" w:type="dxa"/>
          </w:tcPr>
          <w:p w14:paraId="6A8BBDD4" w14:textId="06CC9883"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Grupo</w:t>
            </w:r>
          </w:p>
        </w:tc>
        <w:tc>
          <w:tcPr>
            <w:tcW w:w="2866" w:type="dxa"/>
          </w:tcPr>
          <w:p w14:paraId="785ADC85" w14:textId="23C78C66" w:rsidR="00C64F68" w:rsidRPr="00E361DB" w:rsidRDefault="00864469" w:rsidP="00E361DB">
            <w:pPr>
              <w:rPr>
                <w:rFonts w:ascii="Times New Roman" w:hAnsi="Times New Roman" w:cs="Times New Roman"/>
                <w:b/>
                <w:szCs w:val="32"/>
              </w:rPr>
            </w:pPr>
            <w:r w:rsidRPr="00E361DB">
              <w:rPr>
                <w:rFonts w:ascii="Times New Roman" w:hAnsi="Times New Roman" w:cs="Times New Roman"/>
                <w:b/>
                <w:szCs w:val="32"/>
              </w:rPr>
              <w:t>Variables</w:t>
            </w:r>
          </w:p>
          <w:p w14:paraId="0DFE5665" w14:textId="1F93FBB7" w:rsidR="00C64F68" w:rsidRPr="00E361DB" w:rsidRDefault="00C64F68" w:rsidP="00E361DB">
            <w:pPr>
              <w:rPr>
                <w:rFonts w:ascii="Times New Roman" w:hAnsi="Times New Roman" w:cs="Times New Roman"/>
                <w:b/>
                <w:szCs w:val="32"/>
              </w:rPr>
            </w:pPr>
          </w:p>
        </w:tc>
        <w:tc>
          <w:tcPr>
            <w:tcW w:w="2867" w:type="dxa"/>
          </w:tcPr>
          <w:p w14:paraId="71451523" w14:textId="100D96E8"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Descripción</w:t>
            </w:r>
          </w:p>
        </w:tc>
      </w:tr>
      <w:tr w:rsidR="00C64F68" w14:paraId="49496319" w14:textId="77777777" w:rsidTr="00E361DB">
        <w:trPr>
          <w:trHeight w:val="1296"/>
        </w:trPr>
        <w:tc>
          <w:tcPr>
            <w:tcW w:w="2866" w:type="dxa"/>
          </w:tcPr>
          <w:p w14:paraId="419D824A" w14:textId="7463074A"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Temporales (14)</w:t>
            </w:r>
          </w:p>
        </w:tc>
        <w:tc>
          <w:tcPr>
            <w:tcW w:w="2866" w:type="dxa"/>
          </w:tcPr>
          <w:p w14:paraId="529C2AF3" w14:textId="161B86E4"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 xml:space="preserve">freq_t0, slope_4w/8w, </w:t>
            </w:r>
            <w:proofErr w:type="spellStart"/>
            <w:r w:rsidRPr="00E361DB">
              <w:rPr>
                <w:rFonts w:ascii="Times New Roman" w:hAnsi="Times New Roman" w:cs="Times New Roman"/>
                <w:szCs w:val="32"/>
              </w:rPr>
              <w:t>accel</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freq_mean</w:t>
            </w:r>
            <w:proofErr w:type="spellEnd"/>
            <w:r w:rsidRPr="00E361DB">
              <w:rPr>
                <w:rFonts w:ascii="Times New Roman" w:hAnsi="Times New Roman" w:cs="Times New Roman"/>
                <w:szCs w:val="32"/>
              </w:rPr>
              <w:t xml:space="preserve">/std_8w, n_active_8w, </w:t>
            </w:r>
            <w:proofErr w:type="spellStart"/>
            <w:r w:rsidRPr="00E361DB">
              <w:rPr>
                <w:rFonts w:ascii="Times New Roman" w:hAnsi="Times New Roman" w:cs="Times New Roman"/>
                <w:szCs w:val="32"/>
              </w:rPr>
              <w:t>age_weeks</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peak_hist</w:t>
            </w:r>
            <w:proofErr w:type="spellEnd"/>
            <w:r w:rsidRPr="00E361DB">
              <w:rPr>
                <w:rFonts w:ascii="Times New Roman" w:hAnsi="Times New Roman" w:cs="Times New Roman"/>
                <w:szCs w:val="32"/>
              </w:rPr>
              <w:t>, etc.</w:t>
            </w:r>
          </w:p>
        </w:tc>
        <w:tc>
          <w:tcPr>
            <w:tcW w:w="2867" w:type="dxa"/>
          </w:tcPr>
          <w:p w14:paraId="4C28837E" w14:textId="3912869C"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Trayectoria dinámica: frecuencia actual, velocidad y aceleración de crecimiento, persistencia temporal.</w:t>
            </w:r>
          </w:p>
        </w:tc>
      </w:tr>
      <w:tr w:rsidR="00C64F68" w14:paraId="01C7010F" w14:textId="77777777" w:rsidTr="00E361DB">
        <w:trPr>
          <w:trHeight w:val="639"/>
        </w:trPr>
        <w:tc>
          <w:tcPr>
            <w:tcW w:w="2866" w:type="dxa"/>
          </w:tcPr>
          <w:p w14:paraId="1F6B8642" w14:textId="16C2E7D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Geográficas (3)</w:t>
            </w:r>
          </w:p>
        </w:tc>
        <w:tc>
          <w:tcPr>
            <w:tcW w:w="2866" w:type="dxa"/>
          </w:tcPr>
          <w:p w14:paraId="7B0A5316" w14:textId="4E44DC6D" w:rsidR="00C64F68" w:rsidRPr="00E361DB" w:rsidRDefault="00C64F68" w:rsidP="00E361DB">
            <w:pPr>
              <w:rPr>
                <w:rFonts w:ascii="Times New Roman" w:hAnsi="Times New Roman" w:cs="Times New Roman"/>
                <w:szCs w:val="32"/>
              </w:rPr>
            </w:pPr>
            <w:proofErr w:type="spellStart"/>
            <w:r w:rsidRPr="00E361DB">
              <w:rPr>
                <w:rFonts w:ascii="Times New Roman" w:hAnsi="Times New Roman" w:cs="Times New Roman"/>
                <w:szCs w:val="32"/>
              </w:rPr>
              <w:t>n_countries_now</w:t>
            </w:r>
            <w:proofErr w:type="spellEnd"/>
            <w:r w:rsidRPr="00E361DB">
              <w:rPr>
                <w:rFonts w:ascii="Times New Roman" w:hAnsi="Times New Roman" w:cs="Times New Roman"/>
                <w:szCs w:val="32"/>
              </w:rPr>
              <w:t xml:space="preserve">, n_countries_4w, </w:t>
            </w:r>
            <w:proofErr w:type="spellStart"/>
            <w:r w:rsidRPr="00E361DB">
              <w:rPr>
                <w:rFonts w:ascii="Times New Roman" w:hAnsi="Times New Roman" w:cs="Times New Roman"/>
                <w:szCs w:val="32"/>
              </w:rPr>
              <w:t>geo_growth</w:t>
            </w:r>
            <w:proofErr w:type="spellEnd"/>
          </w:p>
        </w:tc>
        <w:tc>
          <w:tcPr>
            <w:tcW w:w="2867" w:type="dxa"/>
          </w:tcPr>
          <w:p w14:paraId="56226D46" w14:textId="42C919B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Dispersión geográfica actual y su expansión activa.</w:t>
            </w:r>
          </w:p>
        </w:tc>
      </w:tr>
      <w:tr w:rsidR="00C64F68" w14:paraId="11B924FC" w14:textId="77777777" w:rsidTr="00E361DB">
        <w:trPr>
          <w:trHeight w:val="1279"/>
        </w:trPr>
        <w:tc>
          <w:tcPr>
            <w:tcW w:w="2866" w:type="dxa"/>
          </w:tcPr>
          <w:p w14:paraId="4A803BC5" w14:textId="37EC4C56"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Mutacionales (80)</w:t>
            </w:r>
          </w:p>
        </w:tc>
        <w:tc>
          <w:tcPr>
            <w:tcW w:w="2866" w:type="dxa"/>
          </w:tcPr>
          <w:p w14:paraId="3481CB90" w14:textId="7F394453"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Variables binarias (1/0) por mutación</w:t>
            </w:r>
          </w:p>
        </w:tc>
        <w:tc>
          <w:tcPr>
            <w:tcW w:w="2867" w:type="dxa"/>
          </w:tcPr>
          <w:p w14:paraId="726B195E" w14:textId="52FF1020"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Las 80 mutaciones aminoacídicas con mayor varianza temporal en GISAID, en Spike y NSP12.</w:t>
            </w:r>
          </w:p>
        </w:tc>
      </w:tr>
    </w:tbl>
    <w:p w14:paraId="0DE697D4" w14:textId="625B6818"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3.2 Algoritmo de aprendizaje: </w:t>
      </w:r>
      <w:proofErr w:type="spellStart"/>
      <w:r w:rsidRPr="00C64F68">
        <w:rPr>
          <w:rFonts w:ascii="Times New Roman" w:hAnsi="Times New Roman" w:cs="Times New Roman"/>
        </w:rPr>
        <w:t>LightGBM</w:t>
      </w:r>
      <w:proofErr w:type="spellEnd"/>
    </w:p>
    <w:p w14:paraId="32D2E0BD" w14:textId="040D3EF0"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El modelo seleccionado es </w:t>
      </w:r>
      <w:proofErr w:type="spellStart"/>
      <w:r w:rsidRPr="00C64F68">
        <w:rPr>
          <w:rFonts w:ascii="Times New Roman" w:hAnsi="Times New Roman" w:cs="Times New Roman"/>
        </w:rPr>
        <w:t>LightGBM</w:t>
      </w:r>
      <w:proofErr w:type="spellEnd"/>
      <w:r w:rsidRPr="00C64F68">
        <w:rPr>
          <w:rFonts w:ascii="Times New Roman" w:hAnsi="Times New Roman" w:cs="Times New Roman"/>
        </w:rPr>
        <w:t xml:space="preserve"> (Light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Machine), un algoritmo de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sobre árboles de decisión que construye cientos de árboles secuenciales donde cada uno corrige los errores del anterior. Las ventajas para este problema son: (i) manejo nativo de datos heterogéneos sin necesidad de </w:t>
      </w:r>
      <w:proofErr w:type="spellStart"/>
      <w:r w:rsidRPr="00C64F68">
        <w:rPr>
          <w:rFonts w:ascii="Times New Roman" w:hAnsi="Times New Roman" w:cs="Times New Roman"/>
        </w:rPr>
        <w:t>normalizació</w:t>
      </w:r>
      <w:proofErr w:type="spellEnd"/>
      <w:r w:rsidR="004079C8">
        <w:rPr>
          <w:rFonts w:ascii="Times New Roman" w:hAnsi="Times New Roman" w:cs="Times New Roman"/>
        </w:rPr>
        <w:t xml:space="preserve">, </w:t>
      </w:r>
      <w:r w:rsidRPr="00C64F68">
        <w:rPr>
          <w:rFonts w:ascii="Times New Roman" w:hAnsi="Times New Roman" w:cs="Times New Roman"/>
        </w:rPr>
        <w:t>(</w:t>
      </w:r>
      <w:proofErr w:type="spellStart"/>
      <w:r w:rsidRPr="00C64F68">
        <w:rPr>
          <w:rFonts w:ascii="Times New Roman" w:hAnsi="Times New Roman" w:cs="Times New Roman"/>
        </w:rPr>
        <w:t>ii</w:t>
      </w:r>
      <w:proofErr w:type="spellEnd"/>
      <w:r w:rsidRPr="00C64F68">
        <w:rPr>
          <w:rFonts w:ascii="Times New Roman" w:hAnsi="Times New Roman" w:cs="Times New Roman"/>
        </w:rPr>
        <w:t>) captura automática de interacciones no lineales entre variables</w:t>
      </w:r>
      <w:r w:rsidR="004079C8">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eficiencia computacional con 69.363 observaciones y 94 </w:t>
      </w:r>
      <w:proofErr w:type="spellStart"/>
      <w:r w:rsidRPr="00C64F68">
        <w:rPr>
          <w:rFonts w:ascii="Times New Roman" w:hAnsi="Times New Roman" w:cs="Times New Roman"/>
        </w:rPr>
        <w:t>features</w:t>
      </w:r>
      <w:proofErr w:type="spellEnd"/>
      <w:r w:rsidR="004079C8">
        <w:rPr>
          <w:rFonts w:ascii="Times New Roman" w:hAnsi="Times New Roman" w:cs="Times New Roman"/>
        </w:rPr>
        <w:t xml:space="preserve">, </w:t>
      </w:r>
      <w:proofErr w:type="spellStart"/>
      <w:r w:rsidRPr="00C64F68">
        <w:rPr>
          <w:rFonts w:ascii="Times New Roman" w:hAnsi="Times New Roman" w:cs="Times New Roman"/>
        </w:rPr>
        <w:t>iv</w:t>
      </w:r>
      <w:proofErr w:type="spellEnd"/>
      <w:r w:rsidRPr="00C64F68">
        <w:rPr>
          <w:rFonts w:ascii="Times New Roman" w:hAnsi="Times New Roman" w:cs="Times New Roman"/>
        </w:rPr>
        <w:t>) compatibilidad directa con valores SHAP para interpretabilidad.</w:t>
      </w:r>
    </w:p>
    <w:p w14:paraId="2908AA99" w14:textId="4C857CAF"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3.3 Separación temporal y prevención de data </w:t>
      </w:r>
      <w:proofErr w:type="spellStart"/>
      <w:r w:rsidRPr="00C64F68">
        <w:rPr>
          <w:rFonts w:ascii="Times New Roman" w:hAnsi="Times New Roman" w:cs="Times New Roman"/>
        </w:rPr>
        <w:t>leakage</w:t>
      </w:r>
      <w:proofErr w:type="spellEnd"/>
    </w:p>
    <w:p w14:paraId="69F3DD41" w14:textId="24A6C2CA"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Para evitar data </w:t>
      </w:r>
      <w:proofErr w:type="spellStart"/>
      <w:r w:rsidRPr="00C64F68">
        <w:rPr>
          <w:rFonts w:ascii="Times New Roman" w:hAnsi="Times New Roman" w:cs="Times New Roman"/>
        </w:rPr>
        <w:t>leakage</w:t>
      </w:r>
      <w:proofErr w:type="spellEnd"/>
      <w:r w:rsidRPr="00C64F68">
        <w:rPr>
          <w:rFonts w:ascii="Times New Roman" w:hAnsi="Times New Roman" w:cs="Times New Roman"/>
        </w:rPr>
        <w:t xml:space="preserve">, se aplica un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temporal estricto: los datos anteriores al 1 de junio de 2023 constituyen el conjunto de entrenamiento, y los posteriores, el conjunto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Se excluyen las últimas 4 semanas antes del corte (HORIZON = 4) para evitar </w:t>
      </w:r>
      <w:r w:rsidRPr="00C64F68">
        <w:rPr>
          <w:rFonts w:ascii="Times New Roman" w:hAnsi="Times New Roman" w:cs="Times New Roman"/>
        </w:rPr>
        <w:lastRenderedPageBreak/>
        <w:t xml:space="preserve">solapamiento entre la variable objetivo del entrenamiento y el período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Este valor se validó empíricamente como óptimo dentro del rango </w:t>
      </w:r>
      <w:r w:rsidR="00181455">
        <w:rPr>
          <w:rFonts w:ascii="Times New Roman" w:hAnsi="Times New Roman" w:cs="Times New Roman"/>
        </w:rPr>
        <w:t>(</w:t>
      </w:r>
      <w:r w:rsidRPr="00C64F68">
        <w:rPr>
          <w:rFonts w:ascii="Times New Roman" w:hAnsi="Times New Roman" w:cs="Times New Roman"/>
        </w:rPr>
        <w:t>2, 4, 8</w:t>
      </w:r>
      <w:r w:rsidR="00181455">
        <w:rPr>
          <w:rFonts w:ascii="Times New Roman" w:hAnsi="Times New Roman" w:cs="Times New Roman"/>
        </w:rPr>
        <w:t>)</w:t>
      </w:r>
      <w:r w:rsidRPr="00C64F68">
        <w:rPr>
          <w:rFonts w:ascii="Times New Roman" w:hAnsi="Times New Roman" w:cs="Times New Roman"/>
        </w:rPr>
        <w:t xml:space="preserve"> semanas.</w:t>
      </w:r>
    </w:p>
    <w:p w14:paraId="5DD99989" w14:textId="7FE3F256"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3.4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por oleadas pandémicas</w:t>
      </w:r>
    </w:p>
    <w:p w14:paraId="0998C5AB" w14:textId="779FDDE9"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Más allá del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único, se realiza una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que simula el uso real del sistema: el modelo se entrena con datos de las oleadas 1 a N y se evalúa sobre la oleada N+1, repitiendo el proceso para las cuatro transiciones principales de la pandemia (</w:t>
      </w:r>
      <w:proofErr w:type="spellStart"/>
      <w:r w:rsidRPr="00C64F68">
        <w:rPr>
          <w:rFonts w:ascii="Times New Roman" w:hAnsi="Times New Roman" w:cs="Times New Roman"/>
        </w:rPr>
        <w:t>pre-VOC→Delta</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Delta→Omicron</w:t>
      </w:r>
      <w:proofErr w:type="spellEnd"/>
      <w:r w:rsidRPr="00C64F68">
        <w:rPr>
          <w:rFonts w:ascii="Times New Roman" w:hAnsi="Times New Roman" w:cs="Times New Roman"/>
        </w:rPr>
        <w:t xml:space="preserve"> BA.1, </w:t>
      </w:r>
      <w:proofErr w:type="spellStart"/>
      <w:r w:rsidRPr="00C64F68">
        <w:rPr>
          <w:rFonts w:ascii="Times New Roman" w:hAnsi="Times New Roman" w:cs="Times New Roman"/>
        </w:rPr>
        <w:t>Omicron</w:t>
      </w:r>
      <w:proofErr w:type="spellEnd"/>
      <w:r w:rsidRPr="00C64F68">
        <w:rPr>
          <w:rFonts w:ascii="Times New Roman" w:hAnsi="Times New Roman" w:cs="Times New Roman"/>
        </w:rPr>
        <w:t xml:space="preserve"> BA.1→BA.4/5+, BA.4/5+→Post-2023). Este diseño responde a la pregunta: «si tuviéramos este modelo en 2021, ¿habría predicho correctamente la llegada de </w:t>
      </w:r>
      <w:proofErr w:type="spellStart"/>
      <w:r w:rsidRPr="00C64F68">
        <w:rPr>
          <w:rFonts w:ascii="Times New Roman" w:hAnsi="Times New Roman" w:cs="Times New Roman"/>
        </w:rPr>
        <w:t>Omicron</w:t>
      </w:r>
      <w:proofErr w:type="spellEnd"/>
      <w:r w:rsidRPr="00C64F68">
        <w:rPr>
          <w:rFonts w:ascii="Times New Roman" w:hAnsi="Times New Roman" w:cs="Times New Roman"/>
        </w:rPr>
        <w:t>?»</w:t>
      </w:r>
    </w:p>
    <w:p w14:paraId="6F82EC31" w14:textId="0CAC0E3D"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3.5 Modelo extendido con datos UDS</w:t>
      </w:r>
    </w:p>
    <w:p w14:paraId="1A4BE4D2" w14:textId="182DBD7E"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Se entrenan y comparan tres modelos: (i) un </w:t>
      </w:r>
      <w:proofErr w:type="spellStart"/>
      <w:r w:rsidRPr="00C64F68">
        <w:rPr>
          <w:rFonts w:ascii="Times New Roman" w:hAnsi="Times New Roman" w:cs="Times New Roman"/>
        </w:rPr>
        <w:t>baseline</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DummyClassifier</w:t>
      </w:r>
      <w:proofErr w:type="spellEnd"/>
      <w:r w:rsidRPr="00C64F68">
        <w:rPr>
          <w:rFonts w:ascii="Times New Roman" w:hAnsi="Times New Roman" w:cs="Times New Roman"/>
        </w:rPr>
        <w:t>) que predice aleatoriamente (AUC = 0,50)</w:t>
      </w:r>
      <w:r w:rsidR="00BE52D5">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el modelo principal entrenado exclusivamente con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 GISAID</w:t>
      </w:r>
      <w:r w:rsidR="00BE52D5">
        <w:rPr>
          <w:rFonts w:ascii="Times New Roman" w:hAnsi="Times New Roman" w:cs="Times New Roman"/>
        </w:rPr>
        <w:t>,</w:t>
      </w:r>
      <w:r w:rsidRPr="00C64F68">
        <w:rPr>
          <w:rFonts w:ascii="Times New Roman" w:hAnsi="Times New Roman" w:cs="Times New Roman"/>
        </w:rPr>
        <w:t xml:space="preserve"> y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el modelo extendido que incorpora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derivadas del UDS (</w:t>
      </w:r>
      <w:proofErr w:type="spellStart"/>
      <w:r w:rsidRPr="00C64F68">
        <w:rPr>
          <w:rFonts w:ascii="Times New Roman" w:hAnsi="Times New Roman" w:cs="Times New Roman"/>
        </w:rPr>
        <w:t>IPE_score</w:t>
      </w:r>
      <w:proofErr w:type="spellEnd"/>
      <w:r w:rsidRPr="00C64F68">
        <w:rPr>
          <w:rFonts w:ascii="Times New Roman" w:hAnsi="Times New Roman" w:cs="Times New Roman"/>
        </w:rPr>
        <w:t xml:space="preserve">, número de señales de alerta). La comparación entre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y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cuantifica directamente la contribución de los datos </w:t>
      </w:r>
      <w:proofErr w:type="spellStart"/>
      <w:r w:rsidRPr="00C64F68">
        <w:rPr>
          <w:rFonts w:ascii="Times New Roman" w:hAnsi="Times New Roman" w:cs="Times New Roman"/>
        </w:rPr>
        <w:t>intrapaciente</w:t>
      </w:r>
      <w:proofErr w:type="spellEnd"/>
      <w:r w:rsidRPr="00C64F68">
        <w:rPr>
          <w:rFonts w:ascii="Times New Roman" w:hAnsi="Times New Roman" w:cs="Times New Roman"/>
        </w:rPr>
        <w:t xml:space="preserve"> al rendimiento predictivo.</w:t>
      </w:r>
    </w:p>
    <w:p w14:paraId="5B9E2D2E" w14:textId="77777777" w:rsidR="00430E0E" w:rsidRPr="00430E0E" w:rsidRDefault="00430E0E" w:rsidP="00387013">
      <w:pPr>
        <w:jc w:val="both"/>
        <w:rPr>
          <w:rFonts w:ascii="Times New Roman" w:hAnsi="Times New Roman" w:cs="Times New Roman"/>
        </w:rPr>
      </w:pPr>
    </w:p>
    <w:p w14:paraId="205B2745" w14:textId="29F4C200" w:rsidR="00430E0E" w:rsidRDefault="00430E0E" w:rsidP="00387013">
      <w:pPr>
        <w:jc w:val="both"/>
      </w:pPr>
      <w:r>
        <w:br w:type="page"/>
      </w:r>
    </w:p>
    <w:p w14:paraId="6F86A9C2" w14:textId="1C2B59EF" w:rsidR="00430E0E" w:rsidRPr="00430E0E" w:rsidRDefault="00430E0E" w:rsidP="00387013">
      <w:pPr>
        <w:pStyle w:val="Ttulo1"/>
        <w:jc w:val="both"/>
        <w:rPr>
          <w:rFonts w:ascii="Times New Roman" w:hAnsi="Times New Roman" w:cs="Times New Roman"/>
        </w:rPr>
      </w:pPr>
      <w:r w:rsidRPr="00430E0E">
        <w:rPr>
          <w:rFonts w:ascii="Times New Roman" w:hAnsi="Times New Roman" w:cs="Times New Roman"/>
        </w:rPr>
        <w:lastRenderedPageBreak/>
        <w:t>4. Resultados</w:t>
      </w:r>
    </w:p>
    <w:p w14:paraId="38F683A4" w14:textId="6424F548" w:rsidR="00430E0E" w:rsidRPr="00430E0E" w:rsidRDefault="00430E0E" w:rsidP="00387013">
      <w:pPr>
        <w:pStyle w:val="Ttulo2"/>
        <w:jc w:val="both"/>
        <w:rPr>
          <w:rFonts w:ascii="Times New Roman" w:hAnsi="Times New Roman" w:cs="Times New Roman"/>
        </w:rPr>
      </w:pPr>
      <w:r w:rsidRPr="00430E0E">
        <w:rPr>
          <w:rFonts w:ascii="Times New Roman" w:hAnsi="Times New Roman" w:cs="Times New Roman"/>
        </w:rPr>
        <w:t>4.1 Capacidad discriminativa global</w:t>
      </w:r>
    </w:p>
    <w:p w14:paraId="2A6D75F9" w14:textId="574CE663"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El modelo principal (entrenado exclusivamente con datos GISAID) alcanza un AUC de 0,8168 sobre datos completamente fuera del período de entrenamiento, frente al AUC de 0,5007 del </w:t>
      </w:r>
      <w:proofErr w:type="spellStart"/>
      <w:r w:rsidRPr="00430E0E">
        <w:rPr>
          <w:rFonts w:ascii="Times New Roman" w:hAnsi="Times New Roman" w:cs="Times New Roman"/>
        </w:rPr>
        <w:t>baseline</w:t>
      </w:r>
      <w:proofErr w:type="spellEnd"/>
      <w:r w:rsidRPr="00430E0E">
        <w:rPr>
          <w:rFonts w:ascii="Times New Roman" w:hAnsi="Times New Roman" w:cs="Times New Roman"/>
        </w:rPr>
        <w:t xml:space="preserve"> aleatorio. Esto representa una mejora del 63% sobre la predicción aleatoria: el modelo identifica correctamente el </w:t>
      </w:r>
      <w:proofErr w:type="spellStart"/>
      <w:r w:rsidRPr="00430E0E">
        <w:rPr>
          <w:rFonts w:ascii="Times New Roman" w:hAnsi="Times New Roman" w:cs="Times New Roman"/>
        </w:rPr>
        <w:t>clado</w:t>
      </w:r>
      <w:proofErr w:type="spellEnd"/>
      <w:r w:rsidRPr="00430E0E">
        <w:rPr>
          <w:rFonts w:ascii="Times New Roman" w:hAnsi="Times New Roman" w:cs="Times New Roman"/>
        </w:rPr>
        <w:t xml:space="preserve"> emergente frente al no-emergente en el 82% de las comparaciones.</w:t>
      </w:r>
    </w:p>
    <w:p w14:paraId="7B8B17B2" w14:textId="2218F416"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En la validación </w:t>
      </w:r>
      <w:proofErr w:type="spellStart"/>
      <w:r w:rsidRPr="00430E0E">
        <w:rPr>
          <w:rFonts w:ascii="Times New Roman" w:hAnsi="Times New Roman" w:cs="Times New Roman"/>
        </w:rPr>
        <w:t>walk</w:t>
      </w:r>
      <w:proofErr w:type="spellEnd"/>
      <w:r w:rsidRPr="00430E0E">
        <w:rPr>
          <w:rFonts w:ascii="Times New Roman" w:hAnsi="Times New Roman" w:cs="Times New Roman"/>
        </w:rPr>
        <w:t>-forward, el modelo mantiene esta capacidad a través de todas las transiciones pandémicas:</w:t>
      </w:r>
    </w:p>
    <w:p w14:paraId="36159637" w14:textId="431F0CE9" w:rsidR="00E177F1" w:rsidRPr="000A1FB6" w:rsidRDefault="00E177F1" w:rsidP="00E177F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2</w:t>
      </w:r>
      <w:r w:rsidRPr="000A1FB6">
        <w:rPr>
          <w:rFonts w:ascii="Times New Roman" w:hAnsi="Times New Roman" w:cs="Times New Roman"/>
        </w:rPr>
        <w:fldChar w:fldCharType="end"/>
      </w:r>
      <w:r w:rsidRPr="000A1FB6">
        <w:rPr>
          <w:rFonts w:ascii="Times New Roman" w:hAnsi="Times New Roman" w:cs="Times New Roman"/>
        </w:rPr>
        <w:t xml:space="preserve"> - Resultados de validación </w:t>
      </w:r>
      <w:proofErr w:type="spellStart"/>
      <w:r w:rsidRPr="000A1FB6">
        <w:rPr>
          <w:rFonts w:ascii="Times New Roman" w:hAnsi="Times New Roman" w:cs="Times New Roman"/>
        </w:rPr>
        <w:t>walk</w:t>
      </w:r>
      <w:proofErr w:type="spellEnd"/>
      <w:r w:rsidRPr="000A1FB6">
        <w:rPr>
          <w:rFonts w:ascii="Times New Roman" w:hAnsi="Times New Roman" w:cs="Times New Roman"/>
        </w:rPr>
        <w:t>-forward por oleada pandémica.</w:t>
      </w:r>
    </w:p>
    <w:tbl>
      <w:tblPr>
        <w:tblStyle w:val="Tablaconcuadrcula"/>
        <w:tblW w:w="8599" w:type="dxa"/>
        <w:tblLook w:val="04A0" w:firstRow="1" w:lastRow="0" w:firstColumn="1" w:lastColumn="0" w:noHBand="0" w:noVBand="1"/>
      </w:tblPr>
      <w:tblGrid>
        <w:gridCol w:w="2866"/>
        <w:gridCol w:w="2866"/>
        <w:gridCol w:w="2867"/>
      </w:tblGrid>
      <w:tr w:rsidR="00753D59" w14:paraId="33F154E2" w14:textId="77777777" w:rsidTr="00E177F1">
        <w:trPr>
          <w:trHeight w:val="341"/>
        </w:trPr>
        <w:tc>
          <w:tcPr>
            <w:tcW w:w="2866" w:type="dxa"/>
          </w:tcPr>
          <w:p w14:paraId="0F04BA3D" w14:textId="3CA295AD"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Transición</w:t>
            </w:r>
          </w:p>
        </w:tc>
        <w:tc>
          <w:tcPr>
            <w:tcW w:w="2866" w:type="dxa"/>
          </w:tcPr>
          <w:p w14:paraId="43696165" w14:textId="4454E71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AUC</w:t>
            </w:r>
          </w:p>
        </w:tc>
        <w:tc>
          <w:tcPr>
            <w:tcW w:w="2867" w:type="dxa"/>
          </w:tcPr>
          <w:p w14:paraId="3CCA321D" w14:textId="08321DA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Contexto biológico</w:t>
            </w:r>
          </w:p>
        </w:tc>
      </w:tr>
      <w:tr w:rsidR="00753D59" w14:paraId="49B7382C" w14:textId="77777777" w:rsidTr="00E177F1">
        <w:trPr>
          <w:trHeight w:val="682"/>
        </w:trPr>
        <w:tc>
          <w:tcPr>
            <w:tcW w:w="2866" w:type="dxa"/>
          </w:tcPr>
          <w:p w14:paraId="4C522D7B" w14:textId="05A816F1"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Pre-VOC → Delta</w:t>
            </w:r>
          </w:p>
        </w:tc>
        <w:tc>
          <w:tcPr>
            <w:tcW w:w="2866" w:type="dxa"/>
          </w:tcPr>
          <w:p w14:paraId="07A79730" w14:textId="1C84C06B"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0,767</w:t>
            </w:r>
          </w:p>
        </w:tc>
        <w:tc>
          <w:tcPr>
            <w:tcW w:w="2867" w:type="dxa"/>
          </w:tcPr>
          <w:p w14:paraId="435FB533" w14:textId="2BD68A6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Primera variante de preocupación</w:t>
            </w:r>
          </w:p>
        </w:tc>
      </w:tr>
      <w:tr w:rsidR="00753D59" w14:paraId="77DD1903" w14:textId="77777777" w:rsidTr="00E177F1">
        <w:trPr>
          <w:trHeight w:val="667"/>
        </w:trPr>
        <w:tc>
          <w:tcPr>
            <w:tcW w:w="2866" w:type="dxa"/>
          </w:tcPr>
          <w:p w14:paraId="14F2D73D" w14:textId="60899BB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 xml:space="preserve">Delta → </w:t>
            </w: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w:t>
            </w:r>
          </w:p>
        </w:tc>
        <w:tc>
          <w:tcPr>
            <w:tcW w:w="2866" w:type="dxa"/>
          </w:tcPr>
          <w:p w14:paraId="4337FE2D" w14:textId="1A26A73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0,880</w:t>
            </w:r>
          </w:p>
        </w:tc>
        <w:tc>
          <w:tcPr>
            <w:tcW w:w="2867" w:type="dxa"/>
          </w:tcPr>
          <w:p w14:paraId="561ED4F8" w14:textId="57E91775"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Mayor salto evolutivo de la pandemia</w:t>
            </w:r>
          </w:p>
        </w:tc>
      </w:tr>
      <w:tr w:rsidR="00753D59" w14:paraId="0B2875AE" w14:textId="77777777" w:rsidTr="00E177F1">
        <w:trPr>
          <w:trHeight w:val="682"/>
        </w:trPr>
        <w:tc>
          <w:tcPr>
            <w:tcW w:w="2866" w:type="dxa"/>
          </w:tcPr>
          <w:p w14:paraId="78159002" w14:textId="2435CBBB" w:rsidR="00753D59" w:rsidRPr="00E177F1" w:rsidRDefault="00753D59" w:rsidP="00E177F1">
            <w:pPr>
              <w:rPr>
                <w:rFonts w:ascii="Times New Roman" w:hAnsi="Times New Roman" w:cs="Times New Roman"/>
                <w:szCs w:val="32"/>
              </w:rPr>
            </w:pP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 → BA.4/5+</w:t>
            </w:r>
          </w:p>
        </w:tc>
        <w:tc>
          <w:tcPr>
            <w:tcW w:w="2866" w:type="dxa"/>
          </w:tcPr>
          <w:p w14:paraId="6E4289BF" w14:textId="3ED591C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0,739</w:t>
            </w:r>
          </w:p>
        </w:tc>
        <w:tc>
          <w:tcPr>
            <w:tcW w:w="2867" w:type="dxa"/>
          </w:tcPr>
          <w:p w14:paraId="09AB4952" w14:textId="224799FA"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Diversificación intra-</w:t>
            </w:r>
            <w:proofErr w:type="spellStart"/>
            <w:r w:rsidRPr="00E177F1">
              <w:rPr>
                <w:rFonts w:ascii="Times New Roman" w:hAnsi="Times New Roman" w:cs="Times New Roman"/>
                <w:szCs w:val="32"/>
              </w:rPr>
              <w:t>Omicron</w:t>
            </w:r>
            <w:proofErr w:type="spellEnd"/>
          </w:p>
        </w:tc>
      </w:tr>
      <w:tr w:rsidR="00753D59" w14:paraId="79C2AE38" w14:textId="77777777" w:rsidTr="00E177F1">
        <w:trPr>
          <w:trHeight w:val="682"/>
        </w:trPr>
        <w:tc>
          <w:tcPr>
            <w:tcW w:w="2866" w:type="dxa"/>
          </w:tcPr>
          <w:p w14:paraId="2A37521A" w14:textId="2FEAD54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BA.4/5+ → Post-2023</w:t>
            </w:r>
          </w:p>
        </w:tc>
        <w:tc>
          <w:tcPr>
            <w:tcW w:w="2866" w:type="dxa"/>
          </w:tcPr>
          <w:p w14:paraId="27558AA3" w14:textId="5F03D26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0,810</w:t>
            </w:r>
          </w:p>
        </w:tc>
        <w:tc>
          <w:tcPr>
            <w:tcW w:w="2867" w:type="dxa"/>
          </w:tcPr>
          <w:p w14:paraId="17B444DE" w14:textId="30AB0D8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Linajes JN.1 y descendientes</w:t>
            </w:r>
          </w:p>
        </w:tc>
      </w:tr>
    </w:tbl>
    <w:p w14:paraId="705C2E13" w14:textId="77777777" w:rsidR="00E177F1" w:rsidRDefault="00E177F1" w:rsidP="00387013">
      <w:pPr>
        <w:jc w:val="both"/>
        <w:rPr>
          <w:rFonts w:ascii="Times New Roman" w:hAnsi="Times New Roman" w:cs="Times New Roman"/>
        </w:rPr>
      </w:pPr>
    </w:p>
    <w:p w14:paraId="27378EE1" w14:textId="0EE7DED4"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La ausencia de colapso del AUC en la transición a </w:t>
      </w:r>
      <w:proofErr w:type="spellStart"/>
      <w:r w:rsidRPr="00CA2C27">
        <w:rPr>
          <w:rFonts w:ascii="Times New Roman" w:hAnsi="Times New Roman" w:cs="Times New Roman"/>
        </w:rPr>
        <w:t>Omicron</w:t>
      </w:r>
      <w:proofErr w:type="spellEnd"/>
      <w:r w:rsidR="00CB4EB6" w:rsidRPr="00CB4EB6">
        <w:rPr>
          <w:rFonts w:ascii="Times New Roman" w:hAnsi="Times New Roman" w:cs="Times New Roman"/>
        </w:rPr>
        <w:t xml:space="preserve">, </w:t>
      </w:r>
      <w:r w:rsidRPr="00CA2C27">
        <w:rPr>
          <w:rFonts w:ascii="Times New Roman" w:hAnsi="Times New Roman" w:cs="Times New Roman"/>
        </w:rPr>
        <w:t>la más inesperada virológicamente</w:t>
      </w:r>
      <w:r w:rsidR="00CB4EB6" w:rsidRPr="00CB4EB6">
        <w:rPr>
          <w:rFonts w:ascii="Times New Roman" w:hAnsi="Times New Roman" w:cs="Times New Roman"/>
        </w:rPr>
        <w:t>,</w:t>
      </w:r>
      <w:r w:rsidRPr="00CA2C27">
        <w:rPr>
          <w:rFonts w:ascii="Times New Roman" w:hAnsi="Times New Roman" w:cs="Times New Roman"/>
        </w:rPr>
        <w:t xml:space="preserve"> indica que el modelo captura señales de selección positiva que trascienden la identidad de la variante concreta.</w:t>
      </w:r>
    </w:p>
    <w:p w14:paraId="5D98F220" w14:textId="4F8D9AE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4.2 Precisión operacional</w:t>
      </w:r>
    </w:p>
    <w:p w14:paraId="13C35595" w14:textId="6170927F"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AUC-ROC evalúa la capacidad discriminativa global, pero no informa de cuántos positivos reales detecta el sistema en producción. Con una prevalencia del 4,8% de clados en expansión, la curva </w:t>
      </w:r>
      <w:proofErr w:type="spellStart"/>
      <w:r w:rsidRPr="00CA2C27">
        <w:rPr>
          <w:rFonts w:ascii="Times New Roman" w:hAnsi="Times New Roman" w:cs="Times New Roman"/>
        </w:rPr>
        <w:t>Precision-Recall</w:t>
      </w:r>
      <w:proofErr w:type="spellEnd"/>
      <w:r w:rsidRPr="00CA2C27">
        <w:rPr>
          <w:rFonts w:ascii="Times New Roman" w:hAnsi="Times New Roman" w:cs="Times New Roman"/>
        </w:rPr>
        <w:t xml:space="preserve"> es la métrica más relevante para el uso real. El modelo alcanza un </w:t>
      </w:r>
      <w:proofErr w:type="spellStart"/>
      <w:r w:rsidRPr="00CA2C27">
        <w:rPr>
          <w:rFonts w:ascii="Times New Roman" w:hAnsi="Times New Roman" w:cs="Times New Roman"/>
        </w:rPr>
        <w:t>Average</w:t>
      </w:r>
      <w:proofErr w:type="spellEnd"/>
      <w:r w:rsidRPr="00CA2C27">
        <w:rPr>
          <w:rFonts w:ascii="Times New Roman" w:hAnsi="Times New Roman" w:cs="Times New Roman"/>
        </w:rPr>
        <w:t xml:space="preserve"> </w:t>
      </w:r>
      <w:proofErr w:type="spellStart"/>
      <w:r w:rsidRPr="00CA2C27">
        <w:rPr>
          <w:rFonts w:ascii="Times New Roman" w:hAnsi="Times New Roman" w:cs="Times New Roman"/>
        </w:rPr>
        <w:t>Precision</w:t>
      </w:r>
      <w:proofErr w:type="spellEnd"/>
      <w:r w:rsidRPr="00CA2C27">
        <w:rPr>
          <w:rFonts w:ascii="Times New Roman" w:hAnsi="Times New Roman" w:cs="Times New Roman"/>
        </w:rPr>
        <w:t xml:space="preserve"> (AP) de 0,271, frente al 0,048 de un clasificador aleatorio: un </w:t>
      </w:r>
      <w:proofErr w:type="spellStart"/>
      <w:r w:rsidRPr="00CA2C27">
        <w:rPr>
          <w:rFonts w:ascii="Times New Roman" w:hAnsi="Times New Roman" w:cs="Times New Roman"/>
        </w:rPr>
        <w:t>lift</w:t>
      </w:r>
      <w:proofErr w:type="spellEnd"/>
      <w:r w:rsidRPr="00CA2C27">
        <w:rPr>
          <w:rFonts w:ascii="Times New Roman" w:hAnsi="Times New Roman" w:cs="Times New Roman"/>
        </w:rPr>
        <w:t xml:space="preserve"> de 5,6× sobre el azar. Con el umbral óptimo de decisión (0,178), el modelo detecta el 55,5% de los clados realmente emergentes (</w:t>
      </w:r>
      <w:proofErr w:type="spellStart"/>
      <w:r w:rsidRPr="00CA2C27">
        <w:rPr>
          <w:rFonts w:ascii="Times New Roman" w:hAnsi="Times New Roman" w:cs="Times New Roman"/>
        </w:rPr>
        <w:t>recall</w:t>
      </w:r>
      <w:proofErr w:type="spellEnd"/>
      <w:r w:rsidRPr="00CA2C27">
        <w:rPr>
          <w:rFonts w:ascii="Times New Roman" w:hAnsi="Times New Roman" w:cs="Times New Roman"/>
        </w:rPr>
        <w:t>) con una tasa de falsos positivos del 71,9%. En términos prácticos: de cada 10 clados que el sistema señala como emergentes, 2-3 lo son realmente, lo que sigue siendo útil como herramienta de priorización de vigilancia donde el coste de investigar un falso positivo es mucho menor que el de perder un positivo real.</w:t>
      </w:r>
    </w:p>
    <w:p w14:paraId="40087D13" w14:textId="20B3124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4.3 Contribución cuantificada del UDS</w:t>
      </w:r>
    </w:p>
    <w:p w14:paraId="600A7CD4" w14:textId="04880EBC"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modelo extendido (GISAID + </w:t>
      </w:r>
      <w:proofErr w:type="spellStart"/>
      <w:r w:rsidRPr="00CA2C27">
        <w:rPr>
          <w:rFonts w:ascii="Times New Roman" w:hAnsi="Times New Roman" w:cs="Times New Roman"/>
        </w:rPr>
        <w:t>features</w:t>
      </w:r>
      <w:proofErr w:type="spellEnd"/>
      <w:r w:rsidRPr="00CA2C27">
        <w:rPr>
          <w:rFonts w:ascii="Times New Roman" w:hAnsi="Times New Roman" w:cs="Times New Roman"/>
        </w:rPr>
        <w:t xml:space="preserve"> UDS) alcanza un AUC de 0,8167. La diferencia respecto al modelo base es ΔAUC = −0,0022 (IC 95%: </w:t>
      </w:r>
      <w:r w:rsidR="008E1288" w:rsidRPr="008E1288">
        <w:rPr>
          <w:rFonts w:ascii="Times New Roman" w:hAnsi="Times New Roman" w:cs="Times New Roman"/>
        </w:rPr>
        <w:t>[−0,0116; +0,0061]</w:t>
      </w:r>
      <w:r w:rsidRPr="00CA2C27">
        <w:rPr>
          <w:rFonts w:ascii="Times New Roman" w:hAnsi="Times New Roman" w:cs="Times New Roman"/>
        </w:rPr>
        <w:t xml:space="preserve">; p = 0,68). La </w:t>
      </w:r>
      <w:r w:rsidRPr="00CA2C27">
        <w:rPr>
          <w:rFonts w:ascii="Times New Roman" w:hAnsi="Times New Roman" w:cs="Times New Roman"/>
        </w:rPr>
        <w:lastRenderedPageBreak/>
        <w:t>magnitud es pequeña y no alcanza significancia estadística en este análisis, lo que es coherente con lo esperable biológicamente: 28 pacientes no pueden añadir información predictiva sustancial a un modelo entrenado con 17,5 millones de secuencias. La señal UDS actúa en un dominio temporal distinto</w:t>
      </w:r>
      <w:r w:rsidR="00CB4EB6" w:rsidRPr="00CB4EB6">
        <w:rPr>
          <w:rFonts w:ascii="Times New Roman" w:hAnsi="Times New Roman" w:cs="Times New Roman"/>
        </w:rPr>
        <w:t>, ya que detecta variantes</w:t>
      </w:r>
      <w:r w:rsidRPr="00CA2C27">
        <w:rPr>
          <w:rFonts w:ascii="Times New Roman" w:hAnsi="Times New Roman" w:cs="Times New Roman"/>
        </w:rPr>
        <w:t xml:space="preserve"> semanas antes de </w:t>
      </w:r>
      <w:r w:rsidR="00CB4EB6" w:rsidRPr="00CB4EB6">
        <w:rPr>
          <w:rFonts w:ascii="Times New Roman" w:hAnsi="Times New Roman" w:cs="Times New Roman"/>
        </w:rPr>
        <w:t>que sean visibles</w:t>
      </w:r>
      <w:r w:rsidRPr="00CA2C27">
        <w:rPr>
          <w:rFonts w:ascii="Times New Roman" w:hAnsi="Times New Roman" w:cs="Times New Roman"/>
        </w:rPr>
        <w:t xml:space="preserve"> en GISAID, por lo que su contribución es complementaria, no sustitutiva.</w:t>
      </w:r>
    </w:p>
    <w:p w14:paraId="5D7A32A7" w14:textId="33F612E6" w:rsidR="00224928" w:rsidRPr="00224928" w:rsidRDefault="00224928" w:rsidP="00387013">
      <w:pPr>
        <w:pStyle w:val="Ttulo2"/>
        <w:jc w:val="both"/>
        <w:rPr>
          <w:rFonts w:ascii="Times New Roman" w:hAnsi="Times New Roman" w:cs="Times New Roman"/>
        </w:rPr>
      </w:pPr>
      <w:r w:rsidRPr="00224928">
        <w:rPr>
          <w:rFonts w:ascii="Times New Roman" w:hAnsi="Times New Roman" w:cs="Times New Roman"/>
        </w:rPr>
        <w:t>4.4 Interpretabilidad: análisis SHAP</w:t>
      </w:r>
    </w:p>
    <w:p w14:paraId="67911AB2" w14:textId="44BA16DA" w:rsidR="00224928" w:rsidRPr="00224928" w:rsidRDefault="00224928" w:rsidP="00387013">
      <w:pPr>
        <w:jc w:val="both"/>
        <w:rPr>
          <w:rFonts w:ascii="Times New Roman" w:hAnsi="Times New Roman" w:cs="Times New Roman"/>
        </w:rPr>
      </w:pPr>
      <w:r w:rsidRPr="00224928">
        <w:rPr>
          <w:rFonts w:ascii="Times New Roman" w:hAnsi="Times New Roman" w:cs="Times New Roman"/>
        </w:rPr>
        <w:t>El análisis SHAP (</w:t>
      </w:r>
      <w:proofErr w:type="spellStart"/>
      <w:r w:rsidRPr="00224928">
        <w:rPr>
          <w:rFonts w:ascii="Times New Roman" w:hAnsi="Times New Roman" w:cs="Times New Roman"/>
        </w:rPr>
        <w:t>SHapley</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Additive</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exPlanations</w:t>
      </w:r>
      <w:proofErr w:type="spellEnd"/>
      <w:r w:rsidRPr="00224928">
        <w:rPr>
          <w:rFonts w:ascii="Times New Roman" w:hAnsi="Times New Roman" w:cs="Times New Roman"/>
        </w:rPr>
        <w:t xml:space="preserve">) revela qué variables impulsan las predicciones del modelo. Las contribuciones individuales para 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con mayor probabilidad de crecimiento son:</w:t>
      </w:r>
    </w:p>
    <w:p w14:paraId="7E7BDE26" w14:textId="456DAF63" w:rsidR="00CD5631" w:rsidRPr="000A1FB6" w:rsidRDefault="00CD5631" w:rsidP="00CD563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3</w:t>
      </w:r>
      <w:r w:rsidRPr="000A1FB6">
        <w:rPr>
          <w:rFonts w:ascii="Times New Roman" w:hAnsi="Times New Roman" w:cs="Times New Roman"/>
        </w:rPr>
        <w:fldChar w:fldCharType="end"/>
      </w:r>
      <w:r w:rsidRPr="000A1FB6">
        <w:rPr>
          <w:rFonts w:ascii="Times New Roman" w:hAnsi="Times New Roman" w:cs="Times New Roman"/>
        </w:rPr>
        <w:t xml:space="preserve"> - Contribuciones SHAP de las </w:t>
      </w:r>
      <w:proofErr w:type="spellStart"/>
      <w:r w:rsidRPr="000A1FB6">
        <w:rPr>
          <w:rFonts w:ascii="Times New Roman" w:hAnsi="Times New Roman" w:cs="Times New Roman"/>
        </w:rPr>
        <w:t>features</w:t>
      </w:r>
      <w:proofErr w:type="spellEnd"/>
      <w:r w:rsidRPr="000A1FB6">
        <w:rPr>
          <w:rFonts w:ascii="Times New Roman" w:hAnsi="Times New Roman" w:cs="Times New Roman"/>
        </w:rPr>
        <w:t xml:space="preserve"> principales.</w:t>
      </w:r>
    </w:p>
    <w:tbl>
      <w:tblPr>
        <w:tblStyle w:val="Tablaconcuadrcula"/>
        <w:tblW w:w="0" w:type="auto"/>
        <w:tblLook w:val="04A0" w:firstRow="1" w:lastRow="0" w:firstColumn="1" w:lastColumn="0" w:noHBand="0" w:noVBand="1"/>
      </w:tblPr>
      <w:tblGrid>
        <w:gridCol w:w="2831"/>
        <w:gridCol w:w="2831"/>
        <w:gridCol w:w="2832"/>
      </w:tblGrid>
      <w:tr w:rsidR="00864469" w14:paraId="6B060868" w14:textId="77777777" w:rsidTr="00864469">
        <w:tc>
          <w:tcPr>
            <w:tcW w:w="2831" w:type="dxa"/>
          </w:tcPr>
          <w:p w14:paraId="713F39A3" w14:textId="1E554E90" w:rsidR="00864469" w:rsidRPr="00CD5631" w:rsidRDefault="00864469" w:rsidP="00387013">
            <w:pPr>
              <w:jc w:val="both"/>
              <w:rPr>
                <w:rFonts w:ascii="Times New Roman" w:hAnsi="Times New Roman" w:cs="Times New Roman"/>
                <w:b/>
                <w:iCs/>
                <w:szCs w:val="32"/>
              </w:rPr>
            </w:pPr>
            <w:proofErr w:type="spellStart"/>
            <w:r w:rsidRPr="00CD5631">
              <w:rPr>
                <w:rFonts w:ascii="Times New Roman" w:hAnsi="Times New Roman" w:cs="Times New Roman"/>
                <w:b/>
                <w:iCs/>
                <w:szCs w:val="32"/>
              </w:rPr>
              <w:t>Feature</w:t>
            </w:r>
            <w:proofErr w:type="spellEnd"/>
          </w:p>
        </w:tc>
        <w:tc>
          <w:tcPr>
            <w:tcW w:w="2831" w:type="dxa"/>
          </w:tcPr>
          <w:p w14:paraId="21930679" w14:textId="49B3AE89"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SHAP</w:t>
            </w:r>
          </w:p>
        </w:tc>
        <w:tc>
          <w:tcPr>
            <w:tcW w:w="2832" w:type="dxa"/>
          </w:tcPr>
          <w:p w14:paraId="206C04EF" w14:textId="0D3B9327"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Interpretación biológica</w:t>
            </w:r>
          </w:p>
        </w:tc>
      </w:tr>
      <w:tr w:rsidR="00864469" w14:paraId="4E964AC9" w14:textId="77777777" w:rsidTr="00864469">
        <w:tc>
          <w:tcPr>
            <w:tcW w:w="2831" w:type="dxa"/>
          </w:tcPr>
          <w:p w14:paraId="617D77D6" w14:textId="41890500"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mut_Spike_L216F</w:t>
            </w:r>
          </w:p>
        </w:tc>
        <w:tc>
          <w:tcPr>
            <w:tcW w:w="2831" w:type="dxa"/>
          </w:tcPr>
          <w:p w14:paraId="256B48E6" w14:textId="4091B5EE"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+0,579</w:t>
            </w:r>
          </w:p>
        </w:tc>
        <w:tc>
          <w:tcPr>
            <w:tcW w:w="2832" w:type="dxa"/>
          </w:tcPr>
          <w:p w14:paraId="1FD87892" w14:textId="30FD38A3"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NTD del Spike, presente en linajes recientes</w:t>
            </w:r>
          </w:p>
        </w:tc>
      </w:tr>
      <w:tr w:rsidR="00864469" w14:paraId="5D2E8368" w14:textId="77777777" w:rsidTr="00864469">
        <w:tc>
          <w:tcPr>
            <w:tcW w:w="2831" w:type="dxa"/>
          </w:tcPr>
          <w:p w14:paraId="76BFE160" w14:textId="7D72A27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slope_4w</w:t>
            </w:r>
          </w:p>
        </w:tc>
        <w:tc>
          <w:tcPr>
            <w:tcW w:w="2831" w:type="dxa"/>
          </w:tcPr>
          <w:p w14:paraId="3A361058" w14:textId="31D0E7C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+0,476</w:t>
            </w:r>
          </w:p>
        </w:tc>
        <w:tc>
          <w:tcPr>
            <w:tcW w:w="2832" w:type="dxa"/>
          </w:tcPr>
          <w:p w14:paraId="471DCC2C" w14:textId="3659CBD6"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Pendiente de crecimiento en las últimas 4 semanas</w:t>
            </w:r>
          </w:p>
        </w:tc>
      </w:tr>
      <w:tr w:rsidR="00864469" w14:paraId="40F10CBF" w14:textId="77777777" w:rsidTr="00864469">
        <w:tc>
          <w:tcPr>
            <w:tcW w:w="2831" w:type="dxa"/>
          </w:tcPr>
          <w:p w14:paraId="5C741B4D" w14:textId="2DEDB03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freq_t0</w:t>
            </w:r>
          </w:p>
        </w:tc>
        <w:tc>
          <w:tcPr>
            <w:tcW w:w="2831" w:type="dxa"/>
          </w:tcPr>
          <w:p w14:paraId="6D482FBD" w14:textId="128D7E1B"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+0,235</w:t>
            </w:r>
          </w:p>
        </w:tc>
        <w:tc>
          <w:tcPr>
            <w:tcW w:w="2832" w:type="dxa"/>
          </w:tcPr>
          <w:p w14:paraId="055C4C8A" w14:textId="592B82A9"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Frecuencia actual: un </w:t>
            </w:r>
            <w:proofErr w:type="spellStart"/>
            <w:r w:rsidRPr="00CD5631">
              <w:rPr>
                <w:rFonts w:ascii="Times New Roman" w:hAnsi="Times New Roman" w:cs="Times New Roman"/>
                <w:iCs/>
                <w:szCs w:val="32"/>
              </w:rPr>
              <w:t>clado</w:t>
            </w:r>
            <w:proofErr w:type="spellEnd"/>
            <w:r w:rsidRPr="00CD5631">
              <w:rPr>
                <w:rFonts w:ascii="Times New Roman" w:hAnsi="Times New Roman" w:cs="Times New Roman"/>
                <w:iCs/>
                <w:szCs w:val="32"/>
              </w:rPr>
              <w:t xml:space="preserve"> ya presente tiene ventaja</w:t>
            </w:r>
          </w:p>
        </w:tc>
      </w:tr>
      <w:tr w:rsidR="00864469" w14:paraId="7789EF76" w14:textId="77777777" w:rsidTr="00864469">
        <w:tc>
          <w:tcPr>
            <w:tcW w:w="2831" w:type="dxa"/>
          </w:tcPr>
          <w:p w14:paraId="7A82C137" w14:textId="754077B7"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mut_Spike_P1143L</w:t>
            </w:r>
          </w:p>
        </w:tc>
        <w:tc>
          <w:tcPr>
            <w:tcW w:w="2831" w:type="dxa"/>
          </w:tcPr>
          <w:p w14:paraId="053B6647" w14:textId="453D9E0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+0,191</w:t>
            </w:r>
          </w:p>
        </w:tc>
        <w:tc>
          <w:tcPr>
            <w:tcW w:w="2832" w:type="dxa"/>
          </w:tcPr>
          <w:p w14:paraId="52CF58AE" w14:textId="67E3E71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dominio transmembrana de Spike</w:t>
            </w:r>
          </w:p>
        </w:tc>
      </w:tr>
      <w:tr w:rsidR="00864469" w14:paraId="1ACBFA7D" w14:textId="77777777" w:rsidTr="00864469">
        <w:tc>
          <w:tcPr>
            <w:tcW w:w="2831" w:type="dxa"/>
          </w:tcPr>
          <w:p w14:paraId="01B4836C" w14:textId="2D24CC20" w:rsidR="00864469" w:rsidRPr="00CD5631" w:rsidRDefault="00864469" w:rsidP="00CD5631">
            <w:pPr>
              <w:rPr>
                <w:rFonts w:ascii="Times New Roman" w:hAnsi="Times New Roman" w:cs="Times New Roman"/>
                <w:iCs/>
                <w:szCs w:val="32"/>
              </w:rPr>
            </w:pPr>
            <w:proofErr w:type="spellStart"/>
            <w:r w:rsidRPr="00CD5631">
              <w:rPr>
                <w:rFonts w:ascii="Times New Roman" w:hAnsi="Times New Roman" w:cs="Times New Roman"/>
                <w:iCs/>
                <w:szCs w:val="32"/>
              </w:rPr>
              <w:t>accel</w:t>
            </w:r>
            <w:proofErr w:type="spellEnd"/>
          </w:p>
        </w:tc>
        <w:tc>
          <w:tcPr>
            <w:tcW w:w="2831" w:type="dxa"/>
          </w:tcPr>
          <w:p w14:paraId="05227BF6" w14:textId="77B7A3A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+0,161</w:t>
            </w:r>
          </w:p>
        </w:tc>
        <w:tc>
          <w:tcPr>
            <w:tcW w:w="2832" w:type="dxa"/>
          </w:tcPr>
          <w:p w14:paraId="16FA48EA" w14:textId="5B0DB75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Aceleración del crecimiento, señal de </w:t>
            </w:r>
            <w:proofErr w:type="spellStart"/>
            <w:r w:rsidRPr="00CD5631">
              <w:rPr>
                <w:rFonts w:ascii="Times New Roman" w:hAnsi="Times New Roman" w:cs="Times New Roman"/>
                <w:iCs/>
                <w:szCs w:val="32"/>
              </w:rPr>
              <w:t>momentum</w:t>
            </w:r>
            <w:proofErr w:type="spellEnd"/>
            <w:r w:rsidRPr="00CD5631">
              <w:rPr>
                <w:rFonts w:ascii="Times New Roman" w:hAnsi="Times New Roman" w:cs="Times New Roman"/>
                <w:iCs/>
                <w:szCs w:val="32"/>
              </w:rPr>
              <w:t xml:space="preserve"> emergente</w:t>
            </w:r>
          </w:p>
        </w:tc>
      </w:tr>
    </w:tbl>
    <w:p w14:paraId="699F6A70" w14:textId="77777777" w:rsidR="00CD5631" w:rsidRDefault="00CD5631" w:rsidP="00387013">
      <w:pPr>
        <w:jc w:val="both"/>
        <w:rPr>
          <w:rFonts w:ascii="Times New Roman" w:hAnsi="Times New Roman" w:cs="Times New Roman"/>
        </w:rPr>
      </w:pPr>
    </w:p>
    <w:p w14:paraId="355DDFD2" w14:textId="45806494" w:rsidR="00224928" w:rsidRPr="00224928" w:rsidRDefault="00224928" w:rsidP="00387013">
      <w:pPr>
        <w:jc w:val="both"/>
        <w:rPr>
          <w:rFonts w:ascii="Times New Roman" w:hAnsi="Times New Roman" w:cs="Times New Roman"/>
        </w:rPr>
      </w:pPr>
      <w:r w:rsidRPr="00224928">
        <w:rPr>
          <w:rFonts w:ascii="Times New Roman" w:hAnsi="Times New Roman" w:cs="Times New Roman"/>
        </w:rPr>
        <w:t xml:space="preserve">El análisis de ablación confirma estos resultados: eliminar la frecuencia histórica (freq_t0) reduce el AUC en 0,033; eliminar las mutaciones de Spike, en 0,031; eliminar la trayectoria temporal, en 0,012; y eliminar el contexto geográfico, en solo 0,003. El modelo predice emergencia principalmente a partir de la frecuencia actual del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y su composición mutacional en Spike</w:t>
      </w:r>
      <w:r w:rsidR="00953D39" w:rsidRPr="00953D39">
        <w:rPr>
          <w:rFonts w:ascii="Times New Roman" w:hAnsi="Times New Roman" w:cs="Times New Roman"/>
        </w:rPr>
        <w:t xml:space="preserve">, </w:t>
      </w:r>
      <w:r w:rsidRPr="00224928">
        <w:rPr>
          <w:rFonts w:ascii="Times New Roman" w:hAnsi="Times New Roman" w:cs="Times New Roman"/>
        </w:rPr>
        <w:t>la proteína bajo mayor presión selectiva inmunológica, lo que es biológicamente coherente.</w:t>
      </w:r>
    </w:p>
    <w:p w14:paraId="1255FF1D" w14:textId="0828A3ED"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4.5 Lead-time del UDS como sistema de alerta temprana</w:t>
      </w:r>
    </w:p>
    <w:p w14:paraId="2882F56A" w14:textId="7CD8E288"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Para cada haplotipo discordante detectado en los 28 pacientes, se calculó el lead-time: la diferencia en semanas entre la detección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(por UDS) y el momento en que ese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alcanzó ≥3% de frecuencia global en GISAID. Los resultados principales son:</w:t>
      </w:r>
    </w:p>
    <w:p w14:paraId="2E8E78D5" w14:textId="5F2E5703"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El 100% de los casos biológicamente razonables (lead-time ≤52 semanas) presentan lead-time positivo: el UDS siempre detectó primero. Se identificaron 47 haplotipos con anticipación verificada de ≥4 semanas (categoría P1, máxima confianza) y 51 pares </w:t>
      </w:r>
      <w:proofErr w:type="spellStart"/>
      <w:r w:rsidRPr="00D57896">
        <w:rPr>
          <w:rFonts w:ascii="Times New Roman" w:hAnsi="Times New Roman" w:cs="Times New Roman"/>
        </w:rPr>
        <w:t>haplotipo×clado</w:t>
      </w:r>
      <w:proofErr w:type="spellEnd"/>
      <w:r w:rsidRPr="00D57896">
        <w:rPr>
          <w:rFonts w:ascii="Times New Roman" w:hAnsi="Times New Roman" w:cs="Times New Roman"/>
        </w:rPr>
        <w:t xml:space="preserve"> con anticipación verificada. Ocho pacientes de los 28 portaban señales </w:t>
      </w:r>
      <w:r w:rsidRPr="00D57896">
        <w:rPr>
          <w:rFonts w:ascii="Times New Roman" w:hAnsi="Times New Roman" w:cs="Times New Roman"/>
        </w:rPr>
        <w:lastRenderedPageBreak/>
        <w:t xml:space="preserve">de 11 clados futuros distintos. El mejor caso documentado corresponde al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22E, detectado en haplotipos minoritarios 50 semanas antes de alcanzar dominancia global.</w:t>
      </w:r>
    </w:p>
    <w:p w14:paraId="45CD25E5" w14:textId="5B26375C"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Este resultado es consistente con la teoría de </w:t>
      </w:r>
      <w:proofErr w:type="spellStart"/>
      <w:r w:rsidRPr="00D57896">
        <w:rPr>
          <w:rFonts w:ascii="Times New Roman" w:hAnsi="Times New Roman" w:cs="Times New Roman"/>
        </w:rPr>
        <w:t>cuasiespecies</w:t>
      </w:r>
      <w:proofErr w:type="spellEnd"/>
      <w:r w:rsidRPr="00D57896">
        <w:rPr>
          <w:rFonts w:ascii="Times New Roman" w:hAnsi="Times New Roman" w:cs="Times New Roman"/>
        </w:rPr>
        <w:t xml:space="preserve">: el espectro mutacional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actúa como reservorio de variantes adaptadas que la evolución viral ya está explorando, pero que el cuello de botella de transmisión mantiene en baja frecuencia a nivel poblacional. El UDS las detecta meses antes porque dentro del paciente no existe ese cuello de botella.</w:t>
      </w:r>
    </w:p>
    <w:p w14:paraId="38CE9F4C" w14:textId="69C1F62E"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4.6 Validación prospectiva real (febrero–</w:t>
      </w:r>
      <w:r w:rsidRPr="00DE4887">
        <w:rPr>
          <w:rFonts w:ascii="Times New Roman" w:hAnsi="Times New Roman" w:cs="Times New Roman"/>
          <w:szCs w:val="44"/>
        </w:rPr>
        <w:t>abril</w:t>
      </w:r>
      <w:r w:rsidRPr="00A43B0F">
        <w:rPr>
          <w:rFonts w:ascii="Times New Roman" w:hAnsi="Times New Roman" w:cs="Times New Roman"/>
          <w:sz w:val="44"/>
          <w:szCs w:val="44"/>
        </w:rPr>
        <w:t xml:space="preserve"> </w:t>
      </w:r>
      <w:r w:rsidRPr="00D57896">
        <w:rPr>
          <w:rFonts w:ascii="Times New Roman" w:hAnsi="Times New Roman" w:cs="Times New Roman"/>
        </w:rPr>
        <w:t>2026)</w:t>
      </w:r>
    </w:p>
    <w:p w14:paraId="2A9A2326" w14:textId="76432A10" w:rsidR="00D57896" w:rsidRPr="00D57896" w:rsidRDefault="00D57896" w:rsidP="00387013">
      <w:pPr>
        <w:jc w:val="both"/>
        <w:rPr>
          <w:rFonts w:ascii="Times New Roman" w:hAnsi="Times New Roman" w:cs="Times New Roman"/>
        </w:rPr>
      </w:pPr>
      <w:r w:rsidRPr="00D57896">
        <w:rPr>
          <w:rFonts w:ascii="Times New Roman" w:hAnsi="Times New Roman" w:cs="Times New Roman"/>
        </w:rPr>
        <w:t>Se realizó una validación prospectiva del ranking generado en febrero de 2026 (139 clados activos) contra las frecuencias reales observadas en abril de 2026:</w:t>
      </w:r>
    </w:p>
    <w:p w14:paraId="57A4E685" w14:textId="110EBF44" w:rsidR="00A43B0F" w:rsidRPr="000A1FB6" w:rsidRDefault="00A43B0F" w:rsidP="00A43B0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Pr="000A1FB6">
        <w:rPr>
          <w:rFonts w:ascii="Times New Roman" w:hAnsi="Times New Roman" w:cs="Times New Roman"/>
          <w:noProof/>
        </w:rPr>
        <w:t>4</w:t>
      </w:r>
      <w:r w:rsidRPr="000A1FB6">
        <w:rPr>
          <w:rFonts w:ascii="Times New Roman" w:hAnsi="Times New Roman" w:cs="Times New Roman"/>
        </w:rPr>
        <w:fldChar w:fldCharType="end"/>
      </w:r>
      <w:r w:rsidRPr="000A1FB6">
        <w:rPr>
          <w:rFonts w:ascii="Times New Roman" w:hAnsi="Times New Roman" w:cs="Times New Roman"/>
        </w:rPr>
        <w:t xml:space="preserve"> - Validación prospectiva: ranking de febrero 2026 vs. frecuencias reales en abril 2026 (selección de posiciones representativas).</w:t>
      </w:r>
    </w:p>
    <w:tbl>
      <w:tblPr>
        <w:tblStyle w:val="Tablaconcuadrcula"/>
        <w:tblW w:w="8529" w:type="dxa"/>
        <w:tblLook w:val="04A0" w:firstRow="1" w:lastRow="0" w:firstColumn="1" w:lastColumn="0" w:noHBand="0" w:noVBand="1"/>
      </w:tblPr>
      <w:tblGrid>
        <w:gridCol w:w="1705"/>
        <w:gridCol w:w="1706"/>
        <w:gridCol w:w="1706"/>
        <w:gridCol w:w="1706"/>
        <w:gridCol w:w="1706"/>
      </w:tblGrid>
      <w:tr w:rsidR="006C0162" w14:paraId="598E94B8" w14:textId="77777777" w:rsidTr="00A43B0F">
        <w:trPr>
          <w:trHeight w:val="685"/>
        </w:trPr>
        <w:tc>
          <w:tcPr>
            <w:tcW w:w="1705" w:type="dxa"/>
          </w:tcPr>
          <w:p w14:paraId="363719DF" w14:textId="56FB510C"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Rank</w:t>
            </w:r>
          </w:p>
        </w:tc>
        <w:tc>
          <w:tcPr>
            <w:tcW w:w="1706" w:type="dxa"/>
          </w:tcPr>
          <w:p w14:paraId="7AE85979" w14:textId="0261263C" w:rsidR="006C0162" w:rsidRPr="00A43B0F" w:rsidRDefault="006C0162" w:rsidP="00387013">
            <w:pPr>
              <w:jc w:val="both"/>
              <w:rPr>
                <w:rFonts w:ascii="Times New Roman" w:hAnsi="Times New Roman" w:cs="Times New Roman"/>
                <w:b/>
                <w:iCs/>
                <w:szCs w:val="36"/>
              </w:rPr>
            </w:pPr>
            <w:proofErr w:type="spellStart"/>
            <w:r w:rsidRPr="00A43B0F">
              <w:rPr>
                <w:rFonts w:ascii="Times New Roman" w:hAnsi="Times New Roman" w:cs="Times New Roman"/>
                <w:b/>
                <w:iCs/>
                <w:szCs w:val="36"/>
              </w:rPr>
              <w:t>Clado</w:t>
            </w:r>
            <w:proofErr w:type="spellEnd"/>
          </w:p>
        </w:tc>
        <w:tc>
          <w:tcPr>
            <w:tcW w:w="1706" w:type="dxa"/>
          </w:tcPr>
          <w:p w14:paraId="3EBD7284" w14:textId="64047C59"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Feb 26 %</w:t>
            </w:r>
          </w:p>
        </w:tc>
        <w:tc>
          <w:tcPr>
            <w:tcW w:w="1706" w:type="dxa"/>
          </w:tcPr>
          <w:p w14:paraId="04DEF9AA" w14:textId="1B235726"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Abr 26 (familia) %</w:t>
            </w:r>
          </w:p>
        </w:tc>
        <w:tc>
          <w:tcPr>
            <w:tcW w:w="1706" w:type="dxa"/>
          </w:tcPr>
          <w:p w14:paraId="791C9BB6" w14:textId="35D31E1A"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Veredicto</w:t>
            </w:r>
          </w:p>
        </w:tc>
      </w:tr>
      <w:tr w:rsidR="006C0162" w14:paraId="0DB2E8D1" w14:textId="77777777" w:rsidTr="00A43B0F">
        <w:trPr>
          <w:trHeight w:val="342"/>
        </w:trPr>
        <w:tc>
          <w:tcPr>
            <w:tcW w:w="1705" w:type="dxa"/>
          </w:tcPr>
          <w:p w14:paraId="4DEC3D92" w14:textId="7F36A85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w:t>
            </w:r>
          </w:p>
        </w:tc>
        <w:tc>
          <w:tcPr>
            <w:tcW w:w="1706" w:type="dxa"/>
          </w:tcPr>
          <w:p w14:paraId="7B02E500" w14:textId="6EE58DE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RE.2.2.4</w:t>
            </w:r>
          </w:p>
        </w:tc>
        <w:tc>
          <w:tcPr>
            <w:tcW w:w="1706" w:type="dxa"/>
          </w:tcPr>
          <w:p w14:paraId="39181E79" w14:textId="77812DC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6D55C9F7" w14:textId="31C6364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3,4% (RE*)</w:t>
            </w:r>
          </w:p>
        </w:tc>
        <w:tc>
          <w:tcPr>
            <w:tcW w:w="1706" w:type="dxa"/>
          </w:tcPr>
          <w:p w14:paraId="0F3209E9" w14:textId="1C1D664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Marginal</w:t>
            </w:r>
          </w:p>
        </w:tc>
      </w:tr>
      <w:tr w:rsidR="006C0162" w14:paraId="181B51E3" w14:textId="77777777" w:rsidTr="00A43B0F">
        <w:trPr>
          <w:trHeight w:val="327"/>
        </w:trPr>
        <w:tc>
          <w:tcPr>
            <w:tcW w:w="1705" w:type="dxa"/>
          </w:tcPr>
          <w:p w14:paraId="239A641B" w14:textId="2EE8E6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2</w:t>
            </w:r>
          </w:p>
        </w:tc>
        <w:tc>
          <w:tcPr>
            <w:tcW w:w="1706" w:type="dxa"/>
          </w:tcPr>
          <w:p w14:paraId="74FF32E7" w14:textId="37E7D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XFG.2.3.1</w:t>
            </w:r>
          </w:p>
        </w:tc>
        <w:tc>
          <w:tcPr>
            <w:tcW w:w="1706" w:type="dxa"/>
          </w:tcPr>
          <w:p w14:paraId="7D50B29D" w14:textId="53C35FB8"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0,21%</w:t>
            </w:r>
          </w:p>
        </w:tc>
        <w:tc>
          <w:tcPr>
            <w:tcW w:w="1706" w:type="dxa"/>
          </w:tcPr>
          <w:p w14:paraId="1BE1240D" w14:textId="093BF77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730D9AC" w14:textId="5C91D0C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72E34E2E" w14:textId="77777777" w:rsidTr="00A43B0F">
        <w:trPr>
          <w:trHeight w:val="342"/>
        </w:trPr>
        <w:tc>
          <w:tcPr>
            <w:tcW w:w="1705" w:type="dxa"/>
          </w:tcPr>
          <w:p w14:paraId="6B211FFE" w14:textId="6103F4E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w:t>
            </w:r>
          </w:p>
        </w:tc>
        <w:tc>
          <w:tcPr>
            <w:tcW w:w="1706" w:type="dxa"/>
          </w:tcPr>
          <w:p w14:paraId="70D54BC1" w14:textId="6FD7371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QC.1</w:t>
            </w:r>
          </w:p>
        </w:tc>
        <w:tc>
          <w:tcPr>
            <w:tcW w:w="1706" w:type="dxa"/>
          </w:tcPr>
          <w:p w14:paraId="41C82E50" w14:textId="2E69E3F2"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0,31%</w:t>
            </w:r>
          </w:p>
        </w:tc>
        <w:tc>
          <w:tcPr>
            <w:tcW w:w="1706" w:type="dxa"/>
          </w:tcPr>
          <w:p w14:paraId="37A58F00" w14:textId="2F5A8C5D"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w:t>
            </w:r>
          </w:p>
        </w:tc>
        <w:tc>
          <w:tcPr>
            <w:tcW w:w="1706" w:type="dxa"/>
          </w:tcPr>
          <w:p w14:paraId="656BC7F7" w14:textId="3FC79045"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Fallo</w:t>
            </w:r>
          </w:p>
        </w:tc>
      </w:tr>
      <w:tr w:rsidR="006C0162" w14:paraId="3B836C0B" w14:textId="77777777" w:rsidTr="00A43B0F">
        <w:trPr>
          <w:trHeight w:val="342"/>
        </w:trPr>
        <w:tc>
          <w:tcPr>
            <w:tcW w:w="1705" w:type="dxa"/>
          </w:tcPr>
          <w:p w14:paraId="153B39CB" w14:textId="65F681A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4</w:t>
            </w:r>
          </w:p>
        </w:tc>
        <w:tc>
          <w:tcPr>
            <w:tcW w:w="1706" w:type="dxa"/>
          </w:tcPr>
          <w:p w14:paraId="1C24D69F" w14:textId="3CD8D4A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XFG.6.3</w:t>
            </w:r>
          </w:p>
        </w:tc>
        <w:tc>
          <w:tcPr>
            <w:tcW w:w="1706" w:type="dxa"/>
          </w:tcPr>
          <w:p w14:paraId="4C4A5C3D" w14:textId="65632DE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5BC17F21" w14:textId="28E6222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936EF34" w14:textId="1FB94DC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4739191" w14:textId="77777777" w:rsidTr="00A43B0F">
        <w:trPr>
          <w:trHeight w:val="342"/>
        </w:trPr>
        <w:tc>
          <w:tcPr>
            <w:tcW w:w="1705" w:type="dxa"/>
          </w:tcPr>
          <w:p w14:paraId="3BD4A6C8" w14:textId="22EA48D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13</w:t>
            </w:r>
          </w:p>
        </w:tc>
        <w:tc>
          <w:tcPr>
            <w:tcW w:w="1706" w:type="dxa"/>
          </w:tcPr>
          <w:p w14:paraId="680F16C1" w14:textId="10F9A07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w:t>
            </w:r>
          </w:p>
        </w:tc>
        <w:tc>
          <w:tcPr>
            <w:tcW w:w="1706" w:type="dxa"/>
          </w:tcPr>
          <w:p w14:paraId="25E8CA9F" w14:textId="538D19A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0,32%</w:t>
            </w:r>
          </w:p>
        </w:tc>
        <w:tc>
          <w:tcPr>
            <w:tcW w:w="1706" w:type="dxa"/>
          </w:tcPr>
          <w:p w14:paraId="6EB20DCD" w14:textId="671E904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3FC85BB9" w14:textId="1A9302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92E7997" w14:textId="77777777" w:rsidTr="00A43B0F">
        <w:trPr>
          <w:trHeight w:val="342"/>
        </w:trPr>
        <w:tc>
          <w:tcPr>
            <w:tcW w:w="1705" w:type="dxa"/>
          </w:tcPr>
          <w:p w14:paraId="60A4147B" w14:textId="14DBDC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15</w:t>
            </w:r>
          </w:p>
        </w:tc>
        <w:tc>
          <w:tcPr>
            <w:tcW w:w="1706" w:type="dxa"/>
          </w:tcPr>
          <w:p w14:paraId="11B2A45A" w14:textId="5195DA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XDV.1.5.1</w:t>
            </w:r>
          </w:p>
        </w:tc>
        <w:tc>
          <w:tcPr>
            <w:tcW w:w="1706" w:type="dxa"/>
          </w:tcPr>
          <w:p w14:paraId="0D57D93B" w14:textId="7CDB2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0,23%</w:t>
            </w:r>
          </w:p>
        </w:tc>
        <w:tc>
          <w:tcPr>
            <w:tcW w:w="1706" w:type="dxa"/>
          </w:tcPr>
          <w:p w14:paraId="7E355950" w14:textId="7E07AB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5FB04AB2" w14:textId="073A61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bl>
    <w:p w14:paraId="00BB0571" w14:textId="022F2524" w:rsidR="00D57896" w:rsidRPr="00D57896" w:rsidRDefault="00D57896" w:rsidP="00387013">
      <w:pPr>
        <w:jc w:val="both"/>
        <w:rPr>
          <w:rFonts w:ascii="Times New Roman" w:hAnsi="Times New Roman" w:cs="Times New Roman"/>
          <w:i/>
          <w:sz w:val="20"/>
        </w:rPr>
      </w:pPr>
    </w:p>
    <w:p w14:paraId="334AC65B" w14:textId="1D7A80BD"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Las familias dominantes reales en </w:t>
      </w:r>
      <w:r w:rsidRPr="00DE4887">
        <w:rPr>
          <w:rFonts w:ascii="Times New Roman" w:hAnsi="Times New Roman" w:cs="Times New Roman"/>
          <w:szCs w:val="36"/>
        </w:rPr>
        <w:t>abril</w:t>
      </w:r>
      <w:r w:rsidRPr="00A43B0F">
        <w:rPr>
          <w:rFonts w:ascii="Times New Roman" w:hAnsi="Times New Roman" w:cs="Times New Roman"/>
          <w:sz w:val="36"/>
          <w:szCs w:val="36"/>
        </w:rPr>
        <w:t xml:space="preserve"> </w:t>
      </w:r>
      <w:r w:rsidRPr="00D57896">
        <w:rPr>
          <w:rFonts w:ascii="Times New Roman" w:hAnsi="Times New Roman" w:cs="Times New Roman"/>
        </w:rPr>
        <w:t>2026 fueron XFG* (70% de frecuencia global) y XDV* (16,4%). El modelo tenía 5 posiciones XFG en el top-15 y 2 posiciones XDV (puestos 13 y 15). El sistema identificó correctamente las familias virales que dominarían, funcionando como herramienta de vigilancia familiar</w:t>
      </w:r>
      <w:r w:rsidR="00953D39" w:rsidRPr="00953D39">
        <w:rPr>
          <w:rFonts w:ascii="Times New Roman" w:hAnsi="Times New Roman" w:cs="Times New Roman"/>
        </w:rPr>
        <w:t xml:space="preserve">, </w:t>
      </w:r>
      <w:r w:rsidRPr="00D57896">
        <w:rPr>
          <w:rFonts w:ascii="Times New Roman" w:hAnsi="Times New Roman" w:cs="Times New Roman"/>
        </w:rPr>
        <w:t xml:space="preserve">no como predictor exacto de </w:t>
      </w:r>
      <w:proofErr w:type="spellStart"/>
      <w:r w:rsidRPr="00D57896">
        <w:rPr>
          <w:rFonts w:ascii="Times New Roman" w:hAnsi="Times New Roman" w:cs="Times New Roman"/>
        </w:rPr>
        <w:t>sublinaje</w:t>
      </w:r>
      <w:proofErr w:type="spellEnd"/>
      <w:r w:rsidRPr="00D57896">
        <w:rPr>
          <w:rFonts w:ascii="Times New Roman" w:hAnsi="Times New Roman" w:cs="Times New Roman"/>
        </w:rPr>
        <w:t>.</w:t>
      </w:r>
    </w:p>
    <w:p w14:paraId="50F8BEF0" w14:textId="77777777" w:rsidR="004677B6" w:rsidRPr="004677B6" w:rsidRDefault="004677B6" w:rsidP="00387013">
      <w:pPr>
        <w:jc w:val="both"/>
        <w:rPr>
          <w:rFonts w:ascii="Times New Roman" w:hAnsi="Times New Roman" w:cs="Times New Roman"/>
        </w:rPr>
      </w:pPr>
    </w:p>
    <w:p w14:paraId="2DC33186" w14:textId="36E3FC60" w:rsidR="004677B6" w:rsidRDefault="004677B6" w:rsidP="00387013">
      <w:pPr>
        <w:jc w:val="both"/>
        <w:rPr>
          <w:rFonts w:ascii="Times New Roman" w:hAnsi="Times New Roman" w:cs="Times New Roman"/>
          <w:i/>
          <w:sz w:val="20"/>
        </w:rPr>
      </w:pPr>
      <w:r>
        <w:rPr>
          <w:rFonts w:ascii="Times New Roman" w:hAnsi="Times New Roman" w:cs="Times New Roman"/>
          <w:i/>
          <w:sz w:val="20"/>
        </w:rPr>
        <w:br w:type="page"/>
      </w:r>
    </w:p>
    <w:p w14:paraId="3DDAB197" w14:textId="09DBC2E7" w:rsidR="004677B6" w:rsidRPr="004677B6" w:rsidRDefault="004677B6" w:rsidP="00387013">
      <w:pPr>
        <w:pStyle w:val="Ttulo1"/>
        <w:jc w:val="both"/>
        <w:rPr>
          <w:rFonts w:ascii="Times New Roman" w:hAnsi="Times New Roman" w:cs="Times New Roman"/>
        </w:rPr>
      </w:pPr>
      <w:r w:rsidRPr="004677B6">
        <w:rPr>
          <w:rFonts w:ascii="Times New Roman" w:hAnsi="Times New Roman" w:cs="Times New Roman"/>
        </w:rPr>
        <w:lastRenderedPageBreak/>
        <w:t>5. Discusión</w:t>
      </w:r>
    </w:p>
    <w:p w14:paraId="3C0648A1" w14:textId="581D2519"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5.1 Coherencia biológica de las predicciones</w:t>
      </w:r>
    </w:p>
    <w:p w14:paraId="37E5D2C8" w14:textId="08CC0893" w:rsidR="004677B6" w:rsidRPr="004677B6" w:rsidRDefault="004677B6" w:rsidP="00387013">
      <w:pPr>
        <w:jc w:val="both"/>
        <w:rPr>
          <w:rFonts w:ascii="Times New Roman" w:hAnsi="Times New Roman" w:cs="Times New Roman"/>
        </w:rPr>
      </w:pPr>
      <w:r w:rsidRPr="004677B6">
        <w:rPr>
          <w:rFonts w:ascii="Times New Roman" w:hAnsi="Times New Roman" w:cs="Times New Roman"/>
        </w:rPr>
        <w:t>El análisis de importancia global del modelo revela que las tres features más informativas son variables de trayectoria dinámica: freq_t0 (frecuencia actual del clado), slope_4w (pendiente de crecimiento en las últimas 4 semanas) y geo_growth (expansión geográfica activa). Esto es biológicamente coherente: el modelo identifica variantes emergentes principalmente por su comportamiento dinámico de crecimiento, no por la presencia de mutaciones específicas aisladas. La primera mutación que aparece en el ranking de importancia global es Spike G252V (posición 11 de 94 features totales). Esta posición se localiza en el dominio N-terminal (NTD) de la proteína Spike, en la región del loop N5 (residuos ~246–260), uno de los principales sitios antigénicos del NTD reconocidos por anticuerpos neutralizantes de clase I. Su presencia entre las variables más informativas del modelo es coherente con la presión inmunológica sostenida sobre el NTD y con la aparición recurrente de esta sustitución en sublinajes XFG y otros descendientes de JN.1.</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
    <w:p w14:paraId="1EC1F796" w14:textId="5E56482F" w:rsidR="004677B6" w:rsidRPr="004677B6" w:rsidRDefault="004677B6" w:rsidP="00387013">
      <w:pPr>
        <w:jc w:val="both"/>
        <w:rPr>
          <w:rFonts w:ascii="Times New Roman" w:hAnsi="Times New Roman" w:cs="Times New Roman"/>
        </w:rPr>
      </w:pPr>
      <w:r w:rsidRPr="004677B6">
        <w:rPr>
          <w:rFonts w:ascii="Times New Roman" w:hAnsi="Times New Roman" w:cs="Times New Roman"/>
        </w:rPr>
        <w:t>La segunda mutación más destacada funcionalmente es NSP3 T24I (posición 21 de importancia global). NSP3 es la proteína no estructural más grande del virus (~200 kDa), con funciones de proteasa (PLpro), antagonista inmune (elimina marcas de ubiquitina bloqueando la respuesta de interferón tipo I) y formación del orgánulo de replicación. La posición T24 se localiza en el dominio ubiquitin-like (Ubl1) del extremo N-terminal de NSP3, implicado en la interacción con proteínas del hospedador. Su aparición en múltiples sublinajes circulantes sugiere presión selectiva sobre este dominio, aunque su caracterización funcional específica requiere experimentación adicional.</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r w:rsidR="00953D39" w:rsidRPr="00953D39">
        <w:rPr>
          <w:rFonts w:ascii="Times New Roman" w:hAnsi="Times New Roman" w:cs="Times New Roman"/>
        </w:rPr>
      </w:r>
      <w:r w:rsidRPr="004677B6">
        <w:rPr>
          <w:rFonts w:ascii="Times New Roman" w:hAnsi="Times New Roman" w:cs="Times New Roman"/>
        </w:rPr>
      </w:r>
    </w:p>
    <w:p w14:paraId="1B82A820" w14:textId="7E7898DB"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5.2 Contextualización del rendimiento</w:t>
      </w:r>
    </w:p>
    <w:p w14:paraId="03CADA74" w14:textId="308201E7" w:rsidR="004677B6" w:rsidRPr="004677B6" w:rsidRDefault="004677B6" w:rsidP="00387013">
      <w:pPr>
        <w:jc w:val="both"/>
        <w:rPr>
          <w:rFonts w:ascii="Times New Roman" w:hAnsi="Times New Roman" w:cs="Times New Roman"/>
        </w:rPr>
      </w:pPr>
      <w:r w:rsidRPr="004677B6">
        <w:rPr>
          <w:rFonts w:ascii="Times New Roman" w:hAnsi="Times New Roman" w:cs="Times New Roman"/>
        </w:rPr>
        <w:t>Maher et al. (</w:t>
      </w:r>
      <w:proofErr w:type="spellStart"/>
      <w:r w:rsidRPr="004677B6">
        <w:rPr>
          <w:rFonts w:ascii="Times New Roman" w:hAnsi="Times New Roman" w:cs="Times New Roman"/>
        </w:rPr>
        <w:t>Science</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Translational</w:t>
      </w:r>
      <w:proofErr w:type="spellEnd"/>
      <w:r w:rsidRPr="004677B6">
        <w:rPr>
          <w:rFonts w:ascii="Times New Roman" w:hAnsi="Times New Roman" w:cs="Times New Roman"/>
        </w:rPr>
        <w:t xml:space="preserve"> Medicine, 2022) alcanzaron un AUC de 0,92–0,97 con 4,5 millones de secuencias y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mucho más ricos (energía de unión a ACE2, escape a anticuerpos medido experimentalmente). La diferencia con el AUC de 0,82 de este trabajo se explica porque el </w:t>
      </w:r>
      <w:r w:rsidR="00E41200">
        <w:rPr>
          <w:rFonts w:ascii="Times New Roman" w:hAnsi="Times New Roman" w:cs="Times New Roman"/>
        </w:rPr>
        <w:t>trabajo</w:t>
      </w:r>
      <w:r w:rsidRPr="004677B6">
        <w:rPr>
          <w:rFonts w:ascii="Times New Roman" w:hAnsi="Times New Roman" w:cs="Times New Roman"/>
        </w:rPr>
        <w:t xml:space="preserve"> usa exclusivamente frecuencias y mutaciones de secuencia, sin datos experimentales de fitness. Los modelos de fitness de </w:t>
      </w:r>
      <w:proofErr w:type="spellStart"/>
      <w:r w:rsidRPr="004677B6">
        <w:rPr>
          <w:rFonts w:ascii="Times New Roman" w:hAnsi="Times New Roman" w:cs="Times New Roman"/>
        </w:rPr>
        <w:t>Nextstrain</w:t>
      </w:r>
      <w:proofErr w:type="spellEnd"/>
      <w:r w:rsidRPr="004677B6">
        <w:rPr>
          <w:rFonts w:ascii="Times New Roman" w:hAnsi="Times New Roman" w:cs="Times New Roman"/>
        </w:rPr>
        <w:t xml:space="preserve"> alcanzan un AUC implícitamente alto pero operan en ventanas de 30 días. Un AUC de 0,82 con </w:t>
      </w:r>
      <w:proofErr w:type="spellStart"/>
      <w:r w:rsidRPr="004677B6">
        <w:rPr>
          <w:rFonts w:ascii="Times New Roman" w:hAnsi="Times New Roman" w:cs="Times New Roman"/>
        </w:rPr>
        <w:t>walk</w:t>
      </w:r>
      <w:proofErr w:type="spellEnd"/>
      <w:r w:rsidRPr="004677B6">
        <w:rPr>
          <w:rFonts w:ascii="Times New Roman" w:hAnsi="Times New Roman" w:cs="Times New Roman"/>
        </w:rPr>
        <w:t>-forward medio de 0,80 en cuatro oleadas pandémicas es un resultado razonable para un problema difícil y demuestra que el modelo generaliza a oleadas que no vio durante el entrenamiento.</w:t>
      </w:r>
    </w:p>
    <w:p w14:paraId="6F0E7996" w14:textId="195B6CED"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5.3 Interpretación del lead-time</w:t>
      </w:r>
    </w:p>
    <w:p w14:paraId="1FBC1B6C" w14:textId="6D1642D8" w:rsidR="004677B6" w:rsidRPr="004677B6" w:rsidRDefault="00173607" w:rsidP="00387013">
      <w:pPr>
        <w:jc w:val="both"/>
        <w:rPr>
          <w:rFonts w:ascii="Times New Roman" w:hAnsi="Times New Roman" w:cs="Times New Roman"/>
        </w:rPr>
      </w:pPr>
      <w:r w:rsidRPr="00173607">
        <w:rPr>
          <w:rFonts w:ascii="Times New Roman" w:hAnsi="Times New Roman" w:cs="Times New Roman"/>
        </w:rPr>
        <w:t>El lead-time de 14-50 semanas requiere</w:t>
      </w:r>
      <w:r w:rsidR="004677B6" w:rsidRPr="004677B6">
        <w:rPr>
          <w:rFonts w:ascii="Times New Roman" w:hAnsi="Times New Roman" w:cs="Times New Roman"/>
        </w:rPr>
        <w:t xml:space="preserve"> una interpretación matizada. La interpretación correcta es: «las mutaciones detectadas en estos 28 pacientes ya circulaban en la población viral global, y el UDS las detectó localmente con semanas de anticipación respecto a cuando se hicieron visibles en GISAID.» La interpretación incorrecta sería atribuir causalidad directa: estos 28 pacientes no causaron la emergencia global de las variantes.</w:t>
      </w:r>
    </w:p>
    <w:p w14:paraId="16C850BB" w14:textId="04985150" w:rsidR="004677B6" w:rsidRPr="004677B6" w:rsidRDefault="004677B6" w:rsidP="00387013">
      <w:pPr>
        <w:jc w:val="both"/>
        <w:rPr>
          <w:rFonts w:ascii="Times New Roman" w:hAnsi="Times New Roman" w:cs="Times New Roman"/>
        </w:rPr>
      </w:pPr>
      <w:r w:rsidRPr="004677B6">
        <w:rPr>
          <w:rFonts w:ascii="Times New Roman" w:hAnsi="Times New Roman" w:cs="Times New Roman"/>
        </w:rPr>
        <w:t>Esta distinción es importante por el cuello de botella de transmisión: durante la transmisión de SARS-CoV-2, típicamente solo 1</w:t>
      </w:r>
      <w:r w:rsidR="006D6A9B">
        <w:rPr>
          <w:rFonts w:ascii="Times New Roman" w:hAnsi="Times New Roman" w:cs="Times New Roman"/>
        </w:rPr>
        <w:t>-</w:t>
      </w:r>
      <w:r w:rsidRPr="004677B6">
        <w:rPr>
          <w:rFonts w:ascii="Times New Roman" w:hAnsi="Times New Roman" w:cs="Times New Roman"/>
        </w:rPr>
        <w:t xml:space="preserve">8 viriones fundan la infección en el </w:t>
      </w:r>
      <w:r w:rsidRPr="004677B6">
        <w:rPr>
          <w:rFonts w:ascii="Times New Roman" w:hAnsi="Times New Roman" w:cs="Times New Roman"/>
        </w:rPr>
        <w:lastRenderedPageBreak/>
        <w:t xml:space="preserve">nuevo hospedador. Estudios en hogares (Braun et al., PLOS </w:t>
      </w:r>
      <w:proofErr w:type="spellStart"/>
      <w:r w:rsidRPr="004677B6">
        <w:rPr>
          <w:rFonts w:ascii="Times New Roman" w:hAnsi="Times New Roman" w:cs="Times New Roman"/>
        </w:rPr>
        <w:t>Pathogens</w:t>
      </w:r>
      <w:proofErr w:type="spellEnd"/>
      <w:r w:rsidRPr="004677B6">
        <w:rPr>
          <w:rFonts w:ascii="Times New Roman" w:hAnsi="Times New Roman" w:cs="Times New Roman"/>
        </w:rPr>
        <w:t xml:space="preserve">, 2021) muestran que las variantes minoritarias </w:t>
      </w:r>
      <w:proofErr w:type="spellStart"/>
      <w:r w:rsidRPr="004677B6">
        <w:rPr>
          <w:rFonts w:ascii="Times New Roman" w:hAnsi="Times New Roman" w:cs="Times New Roman"/>
        </w:rPr>
        <w:t>intrapaciente</w:t>
      </w:r>
      <w:proofErr w:type="spellEnd"/>
      <w:r w:rsidRPr="004677B6">
        <w:rPr>
          <w:rFonts w:ascii="Times New Roman" w:hAnsi="Times New Roman" w:cs="Times New Roman"/>
        </w:rPr>
        <w:t xml:space="preserve"> raramente se transmiten incluso entre convivientes. El lead-time debe formularse como detección temprana de diversidad viral preexistente en la población, no como predicción causal de emergencia.</w:t>
      </w:r>
    </w:p>
    <w:p w14:paraId="509CFF8F" w14:textId="3204F282" w:rsidR="00077267" w:rsidRPr="00077267" w:rsidRDefault="00077267" w:rsidP="00387013">
      <w:pPr>
        <w:pStyle w:val="Ttulo2"/>
        <w:jc w:val="both"/>
        <w:rPr>
          <w:rFonts w:ascii="Times New Roman" w:hAnsi="Times New Roman" w:cs="Times New Roman"/>
        </w:rPr>
      </w:pPr>
      <w:r w:rsidRPr="00077267">
        <w:rPr>
          <w:rFonts w:ascii="Times New Roman" w:hAnsi="Times New Roman" w:cs="Times New Roman"/>
        </w:rPr>
        <w:t>5.4 Limitaciones</w:t>
      </w:r>
    </w:p>
    <w:p w14:paraId="3A12A237" w14:textId="49C6019F"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Tamaño de la cohorte UDS. Veintiocho pacientes son estadísticamente insuficientes para que el modelo aprenda patrones generalizables de los datos UDS. El valor del UDS en este trabajo es demostrativo (prueba de concepto) y </w:t>
      </w:r>
      <w:proofErr w:type="spellStart"/>
      <w:r w:rsidRPr="00077267">
        <w:rPr>
          <w:rFonts w:ascii="Times New Roman" w:hAnsi="Times New Roman" w:cs="Times New Roman"/>
        </w:rPr>
        <w:t>validatorio</w:t>
      </w:r>
      <w:proofErr w:type="spellEnd"/>
      <w:r w:rsidRPr="00077267">
        <w:rPr>
          <w:rFonts w:ascii="Times New Roman" w:hAnsi="Times New Roman" w:cs="Times New Roman"/>
        </w:rPr>
        <w:t xml:space="preserve"> (confirma por lead-time lo que el modelo GISAID predice), no predictivo directo. Con una cohorte de 200–500 pacientes, el componente UDS podría entrar directamente como </w:t>
      </w:r>
      <w:proofErr w:type="spellStart"/>
      <w:r w:rsidRPr="00077267">
        <w:rPr>
          <w:rFonts w:ascii="Times New Roman" w:hAnsi="Times New Roman" w:cs="Times New Roman"/>
        </w:rPr>
        <w:t>feature</w:t>
      </w:r>
      <w:proofErr w:type="spellEnd"/>
      <w:r w:rsidRPr="00077267">
        <w:rPr>
          <w:rFonts w:ascii="Times New Roman" w:hAnsi="Times New Roman" w:cs="Times New Roman"/>
        </w:rPr>
        <w:t xml:space="preserve"> de entrenamiento.</w:t>
      </w:r>
    </w:p>
    <w:p w14:paraId="43D14230" w14:textId="6305E91F" w:rsidR="00077267" w:rsidRPr="00077267" w:rsidRDefault="00077267" w:rsidP="00387013">
      <w:pPr>
        <w:jc w:val="both"/>
        <w:rPr>
          <w:rFonts w:ascii="Times New Roman" w:hAnsi="Times New Roman" w:cs="Times New Roman"/>
        </w:rPr>
      </w:pPr>
      <w:r w:rsidRPr="00077267">
        <w:rPr>
          <w:rFonts w:ascii="Times New Roman" w:hAnsi="Times New Roman" w:cs="Times New Roman"/>
        </w:rPr>
        <w:t>Sesgo geográfico de GISAID. El 78% de las secuencias proceden de países de renta alta, con infrarrepresentación sistemática de África Subsahariana, Asia central y Latinoamérica. Una variante que emerge en regiones con baja secuenciación podría ser detectada con retraso.</w:t>
      </w:r>
    </w:p>
    <w:p w14:paraId="0166D7A6" w14:textId="616BB7C5" w:rsidR="00077267" w:rsidRPr="00077267" w:rsidRDefault="00077267" w:rsidP="00387013">
      <w:pPr>
        <w:jc w:val="both"/>
        <w:rPr>
          <w:rFonts w:ascii="Times New Roman" w:hAnsi="Times New Roman" w:cs="Times New Roman"/>
        </w:rPr>
      </w:pPr>
      <w:r w:rsidRPr="00077267">
        <w:rPr>
          <w:rFonts w:ascii="Times New Roman" w:hAnsi="Times New Roman" w:cs="Times New Roman"/>
        </w:rPr>
        <w:t>Ventana de predicción. El modelo predice crecimiento en la semana siguiente, no dominancia a 3–6 meses. La ventana operacional de anticipación es de 4–8 semanas.</w:t>
      </w:r>
    </w:p>
    <w:p w14:paraId="53A41E3F" w14:textId="7D107545"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de emergencia abrupta. Los falsos negativos más frecuentes corresponden a clados con freq_t0 &lt; 0,03 que emergen sin gradiente previo detectable (LP.8.1, LF.7, MC.1, JN.1.16.1). Esta limitación es inherente: el modelo aprende de trayectorias, y sin trayectoria previa no hay señal. Precisamente aquí el UDS puede ser más valioso, al no depender de visibilidad en GISAID.</w:t>
      </w:r>
    </w:p>
    <w:p w14:paraId="09B50441" w14:textId="03CCCF28"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Estabilidad entre oleadas. Algunas variables presentan alta variabilidad entre períodos (n_active_8w, CV = 0,50; </w:t>
      </w:r>
      <w:proofErr w:type="spellStart"/>
      <w:r w:rsidRPr="00077267">
        <w:rPr>
          <w:rFonts w:ascii="Times New Roman" w:hAnsi="Times New Roman" w:cs="Times New Roman"/>
        </w:rPr>
        <w:t>peak_hist</w:t>
      </w:r>
      <w:proofErr w:type="spellEnd"/>
      <w:r w:rsidRPr="00077267">
        <w:rPr>
          <w:rFonts w:ascii="Times New Roman" w:hAnsi="Times New Roman" w:cs="Times New Roman"/>
        </w:rPr>
        <w:t xml:space="preserve">, CV = 0,44), indicando menor fiabilidad en transiciones de régimen viral. Las </w:t>
      </w:r>
      <w:proofErr w:type="spellStart"/>
      <w:r w:rsidRPr="00077267">
        <w:rPr>
          <w:rFonts w:ascii="Times New Roman" w:hAnsi="Times New Roman" w:cs="Times New Roman"/>
        </w:rPr>
        <w:t>features</w:t>
      </w:r>
      <w:proofErr w:type="spellEnd"/>
      <w:r w:rsidRPr="00077267">
        <w:rPr>
          <w:rFonts w:ascii="Times New Roman" w:hAnsi="Times New Roman" w:cs="Times New Roman"/>
        </w:rPr>
        <w:t xml:space="preserve"> de mutación son más estables entre oleadas, sugiriendo que en escenarios de transición abrupta el componente mutacional debería recibir mayor peso.</w:t>
      </w:r>
    </w:p>
    <w:p w14:paraId="57196F96" w14:textId="05DAB51F"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actuales sin señal UDS. Los pacientes UDS son de 2020–2023; los clados emergentes de 2025–2026 (XFG, LP.8) carecen de señal UDS directa y el ranking se basa exclusivamente en el componente GISAID.</w:t>
      </w:r>
    </w:p>
    <w:p w14:paraId="76D2B522" w14:textId="77777777" w:rsidR="009866A8" w:rsidRPr="009866A8" w:rsidRDefault="009866A8" w:rsidP="00387013">
      <w:pPr>
        <w:jc w:val="both"/>
        <w:rPr>
          <w:rFonts w:ascii="Times New Roman" w:hAnsi="Times New Roman" w:cs="Times New Roman"/>
        </w:rPr>
      </w:pPr>
    </w:p>
    <w:p w14:paraId="6355CA10" w14:textId="04FD0965" w:rsidR="009866A8" w:rsidRDefault="009866A8" w:rsidP="00387013">
      <w:pPr>
        <w:jc w:val="both"/>
        <w:rPr>
          <w:rFonts w:ascii="Times New Roman" w:hAnsi="Times New Roman" w:cs="Times New Roman"/>
          <w:i/>
          <w:sz w:val="20"/>
        </w:rPr>
      </w:pPr>
      <w:r>
        <w:rPr>
          <w:rFonts w:ascii="Times New Roman" w:hAnsi="Times New Roman" w:cs="Times New Roman"/>
          <w:i/>
          <w:sz w:val="20"/>
        </w:rPr>
        <w:br w:type="page"/>
      </w:r>
    </w:p>
    <w:p w14:paraId="5288A8DA" w14:textId="5FC28EC2" w:rsidR="009866A8" w:rsidRPr="009866A8" w:rsidRDefault="009866A8" w:rsidP="00387013">
      <w:pPr>
        <w:pStyle w:val="Ttulo1"/>
        <w:jc w:val="both"/>
        <w:rPr>
          <w:rFonts w:ascii="Times New Roman" w:hAnsi="Times New Roman" w:cs="Times New Roman"/>
        </w:rPr>
      </w:pPr>
      <w:r w:rsidRPr="009866A8">
        <w:rPr>
          <w:rFonts w:ascii="Times New Roman" w:hAnsi="Times New Roman" w:cs="Times New Roman"/>
        </w:rPr>
        <w:lastRenderedPageBreak/>
        <w:t>6. Conclusiones y trabajo futuro</w:t>
      </w:r>
    </w:p>
    <w:p w14:paraId="76BF716C" w14:textId="296F3971"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6.1 Conclusiones</w:t>
      </w:r>
    </w:p>
    <w:p w14:paraId="0A5C050F" w14:textId="75A05F93"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 ha desarrollado un sistema de predicción de variantes emergentes de SARS-CoV-2 que procesa 17,5 millones de secuencias genómicas y las convierte en 94 variables descriptoras de la trayectoria dinámica de cada variante. El modelo </w:t>
      </w:r>
      <w:proofErr w:type="spellStart"/>
      <w:r w:rsidRPr="009866A8">
        <w:rPr>
          <w:rFonts w:ascii="Times New Roman" w:hAnsi="Times New Roman" w:cs="Times New Roman"/>
        </w:rPr>
        <w:t>LightGBM</w:t>
      </w:r>
      <w:proofErr w:type="spellEnd"/>
      <w:r w:rsidRPr="009866A8">
        <w:rPr>
          <w:rFonts w:ascii="Times New Roman" w:hAnsi="Times New Roman" w:cs="Times New Roman"/>
        </w:rPr>
        <w:t xml:space="preserve"> alcanza un AUC de 0,82 con capacidad de generalización demostrada a través de cuatro oleadas pandémicas no vistas durante el entrenamiento.</w:t>
      </w:r>
    </w:p>
    <w:p w14:paraId="4C232BFC" w14:textId="55C075C3"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Los haplotipos minoritarios detectados por Ultra-Deep </w:t>
      </w:r>
      <w:proofErr w:type="spellStart"/>
      <w:r w:rsidRPr="009866A8">
        <w:rPr>
          <w:rFonts w:ascii="Times New Roman" w:hAnsi="Times New Roman" w:cs="Times New Roman"/>
        </w:rPr>
        <w:t>Sequencing</w:t>
      </w:r>
      <w:proofErr w:type="spellEnd"/>
      <w:r w:rsidRPr="009866A8">
        <w:rPr>
          <w:rFonts w:ascii="Times New Roman" w:hAnsi="Times New Roman" w:cs="Times New Roman"/>
        </w:rPr>
        <w:t xml:space="preserve"> anticipan la emergencia de las variantes que el modelo GISAID identificará semanas después. En todos los casos razonables, el UDS detectó primero, con un mejor caso de 50 semanas de anticipación. Esto convierte al UDS en un sistema de alerta temprana que detecta el futuro viral dentro del paciente antes de que se haga visible a escala global.</w:t>
      </w:r>
    </w:p>
    <w:p w14:paraId="6E9B003E" w14:textId="7E5D178A" w:rsidR="009866A8" w:rsidRPr="009866A8" w:rsidRDefault="009866A8" w:rsidP="00387013">
      <w:pPr>
        <w:jc w:val="both"/>
        <w:rPr>
          <w:rFonts w:ascii="Times New Roman" w:hAnsi="Times New Roman" w:cs="Times New Roman"/>
        </w:rPr>
      </w:pPr>
      <w:r w:rsidRPr="009866A8">
        <w:rPr>
          <w:rFonts w:ascii="Times New Roman" w:hAnsi="Times New Roman" w:cs="Times New Roman"/>
        </w:rPr>
        <w:t>La validación prospectiva real (febrero–abril 2026) confirma que el sistema identifica correctamente las familias virales dominantes (XFG* al 70%, XDV* al 16,4%), funcionando como herramienta de vigilancia con 4-8 semanas de anticipación. Las predicciones del modelo son biológicamente coherentes, como demuestra que las features más importantes son variables de trayectoria dinámica (slope_4w, freq_t0), coherentes con la idea de que el fitness viral se manifiesta como crecimiento, y que la primera mutación informativa es Spike G252V (NTD, loop N5).</w:t>
      </w:r>
      <w:r w:rsidRPr="00DE4887">
        <w:rPr>
          <w:rFonts w:ascii="Times New Roman" w:hAnsi="Times New Roman" w:cs="Times New Roman"/>
          <w:szCs w:val="36"/>
        </w:rPr>
      </w:r>
      <w:r w:rsidRPr="009866A8">
        <w:rPr>
          <w:rFonts w:ascii="Times New Roman" w:hAnsi="Times New Roman" w:cs="Times New Roman"/>
        </w:rPr>
      </w:r>
      <w:r w:rsidR="008D11A0">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proofErr w:type="spellStart"/>
      <w:r w:rsidRPr="009866A8">
        <w:rPr>
          <w:rFonts w:ascii="Times New Roman" w:hAnsi="Times New Roman" w:cs="Times New Roman"/>
        </w:rPr>
      </w:r>
      <w:proofErr w:type="spellEnd"/>
      <w:r w:rsidRPr="009866A8">
        <w:rPr>
          <w:rFonts w:ascii="Times New Roman" w:hAnsi="Times New Roman" w:cs="Times New Roman"/>
        </w:rPr>
      </w:r>
    </w:p>
    <w:p w14:paraId="33606490" w14:textId="13FEB258"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6.2 Trabajo futuro</w:t>
      </w:r>
    </w:p>
    <w:p w14:paraId="58418190" w14:textId="64146394"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proponen tres líneas de desarrollo:</w:t>
      </w:r>
    </w:p>
    <w:p w14:paraId="280331DA" w14:textId="6B35A963" w:rsidR="009866A8" w:rsidRPr="009866A8" w:rsidRDefault="009866A8" w:rsidP="00387013">
      <w:pPr>
        <w:jc w:val="both"/>
        <w:rPr>
          <w:rFonts w:ascii="Times New Roman" w:hAnsi="Times New Roman" w:cs="Times New Roman"/>
        </w:rPr>
      </w:pPr>
      <w:r w:rsidRPr="009866A8">
        <w:rPr>
          <w:rFonts w:ascii="Times New Roman" w:hAnsi="Times New Roman" w:cs="Times New Roman"/>
        </w:rPr>
        <w:t>Vigilancia epidemiológica prospectiva. Integración del sistema en plataformas de vigilancia activa (</w:t>
      </w:r>
      <w:proofErr w:type="spellStart"/>
      <w:r w:rsidRPr="009866A8">
        <w:rPr>
          <w:rFonts w:ascii="Times New Roman" w:hAnsi="Times New Roman" w:cs="Times New Roman"/>
        </w:rPr>
        <w:t>Nextstrain</w:t>
      </w:r>
      <w:proofErr w:type="spellEnd"/>
      <w:r w:rsidRPr="009866A8">
        <w:rPr>
          <w:rFonts w:ascii="Times New Roman" w:hAnsi="Times New Roman" w:cs="Times New Roman"/>
        </w:rPr>
        <w:t>, GISAID) para generar semanalmente un ranking de los 10</w:t>
      </w:r>
      <w:r w:rsidR="000279C8">
        <w:rPr>
          <w:rFonts w:ascii="Times New Roman" w:hAnsi="Times New Roman" w:cs="Times New Roman"/>
        </w:rPr>
        <w:t>-</w:t>
      </w:r>
      <w:r w:rsidRPr="009866A8">
        <w:rPr>
          <w:rFonts w:ascii="Times New Roman" w:hAnsi="Times New Roman" w:cs="Times New Roman"/>
        </w:rPr>
        <w:t>20 clados con mayor probabilidad de expansión, con 4</w:t>
      </w:r>
      <w:r w:rsidR="00671680">
        <w:rPr>
          <w:rFonts w:ascii="Times New Roman" w:hAnsi="Times New Roman" w:cs="Times New Roman"/>
        </w:rPr>
        <w:t>-</w:t>
      </w:r>
      <w:r w:rsidRPr="009866A8">
        <w:rPr>
          <w:rFonts w:ascii="Times New Roman" w:hAnsi="Times New Roman" w:cs="Times New Roman"/>
        </w:rPr>
        <w:t>8 semanas de anticipación para preparar respuestas de salud pública.</w:t>
      </w:r>
    </w:p>
    <w:p w14:paraId="4DDA119C" w14:textId="77C0D39B"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Selección de candidatos vacunales. Combinación del sistema con datos de </w:t>
      </w:r>
      <w:proofErr w:type="spellStart"/>
      <w:r w:rsidRPr="009866A8">
        <w:rPr>
          <w:rFonts w:ascii="Times New Roman" w:hAnsi="Times New Roman" w:cs="Times New Roman"/>
        </w:rPr>
        <w:t>deep</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mutational</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scanning</w:t>
      </w:r>
      <w:proofErr w:type="spellEnd"/>
      <w:r w:rsidRPr="009866A8">
        <w:rPr>
          <w:rFonts w:ascii="Times New Roman" w:hAnsi="Times New Roman" w:cs="Times New Roman"/>
        </w:rPr>
        <w:t xml:space="preserve"> (Bloom Lab) para asistir en la selección de composición vacunal con 3</w:t>
      </w:r>
      <w:r w:rsidR="000279C8">
        <w:rPr>
          <w:rFonts w:ascii="Times New Roman" w:hAnsi="Times New Roman" w:cs="Times New Roman"/>
        </w:rPr>
        <w:t>-</w:t>
      </w:r>
      <w:r w:rsidRPr="009866A8">
        <w:rPr>
          <w:rFonts w:ascii="Times New Roman" w:hAnsi="Times New Roman" w:cs="Times New Roman"/>
        </w:rPr>
        <w:t>4 meses de antelación.</w:t>
      </w:r>
    </w:p>
    <w:p w14:paraId="048E51DC" w14:textId="58ED183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Amplificación de programas UDS. Expansión de la cohorte a 500–1.000 pacientes de distintas geografías con seguimiento longitudinal, para incorporar el IPE score directamente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de entrenamiento y validar prospectivamente la anticipación observada.</w:t>
      </w:r>
    </w:p>
    <w:p w14:paraId="57EE9F29" w14:textId="1C74DBE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La arquitectura del sistema </w:t>
      </w:r>
      <w:r w:rsidR="002F782F" w:rsidRPr="002F782F">
        <w:rPr>
          <w:rFonts w:ascii="Times New Roman" w:hAnsi="Times New Roman" w:cs="Times New Roman"/>
        </w:rPr>
        <w:t>(</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engineering</w:t>
      </w:r>
      <w:proofErr w:type="spellEnd"/>
      <w:r w:rsidRPr="009866A8">
        <w:rPr>
          <w:rFonts w:ascii="Times New Roman" w:hAnsi="Times New Roman" w:cs="Times New Roman"/>
        </w:rPr>
        <w:t xml:space="preserve"> sobre vigilancia genómica global, modelo temporal con </w:t>
      </w:r>
      <w:proofErr w:type="spellStart"/>
      <w:r w:rsidRPr="009866A8">
        <w:rPr>
          <w:rFonts w:ascii="Times New Roman" w:hAnsi="Times New Roman" w:cs="Times New Roman"/>
        </w:rPr>
        <w:t>split</w:t>
      </w:r>
      <w:proofErr w:type="spellEnd"/>
      <w:r w:rsidRPr="009866A8">
        <w:rPr>
          <w:rFonts w:ascii="Times New Roman" w:hAnsi="Times New Roman" w:cs="Times New Roman"/>
        </w:rPr>
        <w:t xml:space="preserve"> estricto, integración de datos de </w:t>
      </w:r>
      <w:proofErr w:type="spellStart"/>
      <w:r w:rsidRPr="009866A8">
        <w:rPr>
          <w:rFonts w:ascii="Times New Roman" w:hAnsi="Times New Roman" w:cs="Times New Roman"/>
        </w:rPr>
        <w:t>cuasiespecies</w:t>
      </w:r>
      <w:proofErr w:type="spellEnd"/>
      <w:r w:rsidR="002F782F" w:rsidRPr="002F782F">
        <w:rPr>
          <w:rFonts w:ascii="Times New Roman" w:hAnsi="Times New Roman" w:cs="Times New Roman"/>
        </w:rPr>
        <w:t>)</w:t>
      </w:r>
      <w:r w:rsidRPr="009866A8">
        <w:rPr>
          <w:rFonts w:ascii="Times New Roman" w:hAnsi="Times New Roman" w:cs="Times New Roman"/>
        </w:rPr>
        <w:t xml:space="preserve"> es en principio aplicable a cualquier virus RNA con vigilancia genómica activa: influenza, RSV, MERS-CoV o futuros virus pandémicos.</w:t>
      </w:r>
    </w:p>
    <w:p w14:paraId="2EDDFCB9" w14:textId="77777777" w:rsidR="00250B1B" w:rsidRPr="00250B1B" w:rsidRDefault="00250B1B" w:rsidP="00250B1B">
      <w:pPr>
        <w:rPr>
          <w:rFonts w:ascii="Times New Roman" w:hAnsi="Times New Roman" w:cs="Times New Roman"/>
        </w:rPr>
      </w:pPr>
    </w:p>
    <w:p w14:paraId="7A5E1C70" w14:textId="31202A9A" w:rsidR="00250B1B" w:rsidRDefault="00250B1B" w:rsidP="00753D59">
      <w:pPr>
        <w:rPr>
          <w:rFonts w:ascii="Times New Roman" w:hAnsi="Times New Roman" w:cs="Times New Roman"/>
          <w:i/>
          <w:sz w:val="20"/>
        </w:rPr>
      </w:pPr>
      <w:r>
        <w:rPr>
          <w:rFonts w:ascii="Times New Roman" w:hAnsi="Times New Roman" w:cs="Times New Roman"/>
          <w:i/>
          <w:sz w:val="20"/>
        </w:rPr>
        <w:br w:type="page"/>
      </w:r>
    </w:p>
    <w:p w14:paraId="6D323A30" w14:textId="3AEF2C1D" w:rsidR="00250B1B" w:rsidRPr="00250B1B" w:rsidRDefault="00250B1B" w:rsidP="00250B1B">
      <w:pPr>
        <w:pStyle w:val="Ttulo1"/>
        <w:rPr>
          <w:rFonts w:ascii="Times New Roman" w:hAnsi="Times New Roman" w:cs="Times New Roman"/>
        </w:rPr>
      </w:pPr>
      <w:r w:rsidRPr="00250B1B">
        <w:rPr>
          <w:rFonts w:ascii="Times New Roman" w:hAnsi="Times New Roman" w:cs="Times New Roman"/>
        </w:rPr>
        <w:lastRenderedPageBreak/>
        <w:t>Referencias</w:t>
      </w:r>
    </w:p>
    <w:p w14:paraId="29A1BAD8" w14:textId="3C89B807"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Braun, K.M. et al. (2021). </w:t>
      </w:r>
      <w:proofErr w:type="spellStart"/>
      <w:r w:rsidRPr="00250B1B">
        <w:rPr>
          <w:rFonts w:ascii="Times New Roman" w:hAnsi="Times New Roman" w:cs="Times New Roman"/>
          <w:sz w:val="22"/>
        </w:rPr>
        <w:t>Transmission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SARS-CoV-2 in </w:t>
      </w:r>
      <w:proofErr w:type="spellStart"/>
      <w:r w:rsidRPr="00250B1B">
        <w:rPr>
          <w:rFonts w:ascii="Times New Roman" w:hAnsi="Times New Roman" w:cs="Times New Roman"/>
          <w:sz w:val="22"/>
        </w:rPr>
        <w:t>domestic</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settings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insights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from</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household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studies</w:t>
      </w:r>
      <w:proofErr w:type="spellEnd"/>
      <w:r w:rsidRPr="00250B1B">
        <w:rPr>
          <w:rFonts w:ascii="Times New Roman" w:hAnsi="Times New Roman" w:cs="Times New Roman"/>
          <w:sz w:val="22"/>
        </w:rPr>
        <w:t xml:space="preserve">. PLOS </w:t>
      </w:r>
      <w:proofErr w:type="spellStart"/>
      <w:r w:rsidRPr="00250B1B">
        <w:rPr>
          <w:rFonts w:ascii="Times New Roman" w:hAnsi="Times New Roman" w:cs="Times New Roman"/>
          <w:sz w:val="22"/>
        </w:rPr>
        <w:t>Pathogens</w:t>
      </w:r>
      <w:proofErr w:type="spellEnd"/>
      <w:r w:rsidRPr="00250B1B">
        <w:rPr>
          <w:rFonts w:ascii="Times New Roman" w:hAnsi="Times New Roman" w:cs="Times New Roman"/>
          <w:sz w:val="22"/>
        </w:rPr>
        <w:t>, 17(6), e1009667.</w:t>
      </w:r>
    </w:p>
    <w:p w14:paraId="7934CA94" w14:textId="794C75AA"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Domingo, E. &amp; Perales, C. (2021). Viral </w:t>
      </w:r>
      <w:proofErr w:type="spellStart"/>
      <w:r w:rsidRPr="00250B1B">
        <w:rPr>
          <w:rFonts w:ascii="Times New Roman" w:hAnsi="Times New Roman" w:cs="Times New Roman"/>
          <w:sz w:val="22"/>
        </w:rPr>
        <w:t>quasispecies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history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concepts</w:t>
      </w:r>
      <w:proofErr w:type="spellEnd"/>
      <w:r w:rsidRPr="00250B1B">
        <w:rPr>
          <w:rFonts w:ascii="Times New Roman" w:hAnsi="Times New Roman" w:cs="Times New Roman"/>
          <w:sz w:val="22"/>
        </w:rPr>
        <w:t xml:space="preserve">, and </w:t>
      </w:r>
      <w:proofErr w:type="spellStart"/>
      <w:r w:rsidRPr="00250B1B">
        <w:rPr>
          <w:rFonts w:ascii="Times New Roman" w:hAnsi="Times New Roman" w:cs="Times New Roman"/>
          <w:sz w:val="22"/>
        </w:rPr>
        <w:t>perspectives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Annual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Review</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Virology</w:t>
      </w:r>
      <w:proofErr w:type="spellEnd"/>
      <w:r w:rsidRPr="00250B1B">
        <w:rPr>
          <w:rFonts w:ascii="Times New Roman" w:hAnsi="Times New Roman" w:cs="Times New Roman"/>
          <w:sz w:val="22"/>
        </w:rPr>
        <w:t>, 8, 51–73.</w:t>
      </w:r>
    </w:p>
    <w:p w14:paraId="28B87F0C" w14:textId="48EEB425"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Ke, G. et al. (2017). </w:t>
      </w:r>
      <w:proofErr w:type="spellStart"/>
      <w:r w:rsidRPr="00250B1B">
        <w:rPr>
          <w:rFonts w:ascii="Times New Roman" w:hAnsi="Times New Roman" w:cs="Times New Roman"/>
          <w:sz w:val="22"/>
        </w:rPr>
        <w:t>LightGBM</w:t>
      </w:r>
      <w:proofErr w:type="spellEnd"/>
      <w:r w:rsidRPr="00250B1B">
        <w:rPr>
          <w:rFonts w:ascii="Times New Roman" w:hAnsi="Times New Roman" w:cs="Times New Roman"/>
          <w:sz w:val="22"/>
        </w:rPr>
        <w:t xml:space="preserve">: A </w:t>
      </w:r>
      <w:proofErr w:type="spellStart"/>
      <w:r w:rsidRPr="00250B1B">
        <w:rPr>
          <w:rFonts w:ascii="Times New Roman" w:hAnsi="Times New Roman" w:cs="Times New Roman"/>
          <w:sz w:val="22"/>
        </w:rPr>
        <w:t>highly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efficient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gradient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boosting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decision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tree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49DF1A3" w14:textId="6A4BF89E"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Lundberg, S.M. &amp; Lee, S.I. (2017). A </w:t>
      </w:r>
      <w:proofErr w:type="spellStart"/>
      <w:r w:rsidRPr="00250B1B">
        <w:rPr>
          <w:rFonts w:ascii="Times New Roman" w:hAnsi="Times New Roman" w:cs="Times New Roman"/>
          <w:sz w:val="22"/>
        </w:rPr>
        <w:t>unified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approach</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to</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interpreting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model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predictions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99B1C61" w14:textId="4E9C9CDD"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Maher, M.C. et al. (2022). </w:t>
      </w:r>
      <w:proofErr w:type="spellStart"/>
      <w:r w:rsidRPr="00250B1B">
        <w:rPr>
          <w:rFonts w:ascii="Times New Roman" w:hAnsi="Times New Roman" w:cs="Times New Roman"/>
          <w:sz w:val="22"/>
        </w:rPr>
        <w:t>Predicting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the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mutational</w:t>
      </w:r>
      <w:proofErr w:type="spellEnd"/>
      <w:r w:rsidRPr="00250B1B">
        <w:rPr>
          <w:rFonts w:ascii="Times New Roman" w:hAnsi="Times New Roman" w:cs="Times New Roman"/>
          <w:sz w:val="22"/>
        </w:rPr>
        <w:t xml:space="preserve"> drivers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future SARS-CoV-2 </w:t>
      </w:r>
      <w:proofErr w:type="spellStart"/>
      <w:r w:rsidRPr="00250B1B">
        <w:rPr>
          <w:rFonts w:ascii="Times New Roman" w:hAnsi="Times New Roman" w:cs="Times New Roman"/>
          <w:sz w:val="22"/>
        </w:rPr>
        <w:t>variants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concern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Science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Translational</w:t>
      </w:r>
      <w:proofErr w:type="spellEnd"/>
      <w:r w:rsidRPr="00250B1B">
        <w:rPr>
          <w:rFonts w:ascii="Times New Roman" w:hAnsi="Times New Roman" w:cs="Times New Roman"/>
          <w:sz w:val="22"/>
        </w:rPr>
        <w:t xml:space="preserve"> Medicine, 14(633), eabk3445.</w:t>
      </w:r>
    </w:p>
    <w:p w14:paraId="3A0F2D63" w14:textId="7F8DAFB8" w:rsidR="00534F77" w:rsidRPr="00CA2C27" w:rsidRDefault="00534F77" w:rsidP="00753D59">
      <w:pPr>
        <w:rPr>
          <w:rFonts w:ascii="Times New Roman" w:hAnsi="Times New Roman" w:cs="Times New Roman"/>
          <w:i/>
          <w:sz w:val="20"/>
        </w:rPr>
      </w:pPr>
    </w:p>
    <w:sectPr w:rsidR="00534F77" w:rsidRPr="00CA2C2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0AD3" w14:textId="77777777" w:rsidR="003F4671" w:rsidRDefault="003F4671" w:rsidP="00A930ED">
      <w:pPr>
        <w:spacing w:after="0" w:line="240" w:lineRule="auto"/>
      </w:pPr>
      <w:r>
        <w:separator/>
      </w:r>
    </w:p>
  </w:endnote>
  <w:endnote w:type="continuationSeparator" w:id="0">
    <w:p w14:paraId="4C094153" w14:textId="77777777" w:rsidR="003F4671" w:rsidRDefault="003F4671" w:rsidP="00A9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C438" w14:textId="77777777" w:rsidR="00A930ED" w:rsidRDefault="00A930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C955" w14:textId="77777777" w:rsidR="00A930ED" w:rsidRDefault="00A930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F463" w14:textId="77777777" w:rsidR="00A930ED" w:rsidRDefault="00A930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550B" w14:textId="77777777" w:rsidR="003F4671" w:rsidRDefault="003F4671" w:rsidP="00A930ED">
      <w:pPr>
        <w:spacing w:after="0" w:line="240" w:lineRule="auto"/>
      </w:pPr>
      <w:r>
        <w:separator/>
      </w:r>
    </w:p>
  </w:footnote>
  <w:footnote w:type="continuationSeparator" w:id="0">
    <w:p w14:paraId="3C5D599A" w14:textId="77777777" w:rsidR="003F4671" w:rsidRDefault="003F4671" w:rsidP="00A9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A8E3" w14:textId="77777777" w:rsidR="00A930ED" w:rsidRDefault="00A930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E1F2" w14:textId="77777777" w:rsidR="00A930ED" w:rsidRDefault="00A930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EA77" w14:textId="77777777" w:rsidR="00A930ED" w:rsidRDefault="00A930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5C4B78"/>
    <w:lvl w:ilvl="0">
      <w:start w:val="1"/>
      <w:numFmt w:val="decimal"/>
      <w:pStyle w:val="Listaconnmeros"/>
      <w:lvlText w:val="%1."/>
      <w:lvlJc w:val="left"/>
      <w:pPr>
        <w:tabs>
          <w:tab w:val="num" w:pos="360"/>
        </w:tabs>
        <w:ind w:left="360" w:hanging="360"/>
      </w:pPr>
    </w:lvl>
  </w:abstractNum>
  <w:abstractNum w:abstractNumId="1" w15:restartNumberingAfterBreak="0">
    <w:nsid w:val="018444E0"/>
    <w:multiLevelType w:val="multilevel"/>
    <w:tmpl w:val="176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41A9"/>
    <w:multiLevelType w:val="multilevel"/>
    <w:tmpl w:val="5948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47598"/>
    <w:multiLevelType w:val="multilevel"/>
    <w:tmpl w:val="1B84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714D"/>
    <w:multiLevelType w:val="multilevel"/>
    <w:tmpl w:val="CC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E2F01"/>
    <w:multiLevelType w:val="multilevel"/>
    <w:tmpl w:val="F18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92887"/>
    <w:multiLevelType w:val="multilevel"/>
    <w:tmpl w:val="1F2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A37AB"/>
    <w:multiLevelType w:val="multilevel"/>
    <w:tmpl w:val="8FD4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A151D5"/>
    <w:multiLevelType w:val="multilevel"/>
    <w:tmpl w:val="3CE4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C4ED6"/>
    <w:multiLevelType w:val="multilevel"/>
    <w:tmpl w:val="3D5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1C4D8F"/>
    <w:multiLevelType w:val="multilevel"/>
    <w:tmpl w:val="32A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0299B"/>
    <w:multiLevelType w:val="multilevel"/>
    <w:tmpl w:val="99C2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3297F"/>
    <w:multiLevelType w:val="multilevel"/>
    <w:tmpl w:val="57A4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10B98"/>
    <w:multiLevelType w:val="multilevel"/>
    <w:tmpl w:val="E4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259ED"/>
    <w:multiLevelType w:val="multilevel"/>
    <w:tmpl w:val="37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B3D"/>
    <w:multiLevelType w:val="multilevel"/>
    <w:tmpl w:val="3FF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E3155"/>
    <w:multiLevelType w:val="multilevel"/>
    <w:tmpl w:val="A87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16AD6"/>
    <w:multiLevelType w:val="multilevel"/>
    <w:tmpl w:val="9F92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167494">
    <w:abstractNumId w:val="15"/>
  </w:num>
  <w:num w:numId="2" w16cid:durableId="257251117">
    <w:abstractNumId w:val="7"/>
  </w:num>
  <w:num w:numId="3" w16cid:durableId="805044945">
    <w:abstractNumId w:val="11"/>
  </w:num>
  <w:num w:numId="4" w16cid:durableId="2012372804">
    <w:abstractNumId w:val="8"/>
  </w:num>
  <w:num w:numId="5" w16cid:durableId="1564876444">
    <w:abstractNumId w:val="17"/>
  </w:num>
  <w:num w:numId="6" w16cid:durableId="1342703329">
    <w:abstractNumId w:val="4"/>
  </w:num>
  <w:num w:numId="7" w16cid:durableId="658116490">
    <w:abstractNumId w:val="5"/>
  </w:num>
  <w:num w:numId="8" w16cid:durableId="2001736451">
    <w:abstractNumId w:val="13"/>
  </w:num>
  <w:num w:numId="9" w16cid:durableId="770660984">
    <w:abstractNumId w:val="16"/>
  </w:num>
  <w:num w:numId="10" w16cid:durableId="1976904702">
    <w:abstractNumId w:val="1"/>
  </w:num>
  <w:num w:numId="11" w16cid:durableId="1878199868">
    <w:abstractNumId w:val="14"/>
  </w:num>
  <w:num w:numId="12" w16cid:durableId="133566678">
    <w:abstractNumId w:val="10"/>
  </w:num>
  <w:num w:numId="13" w16cid:durableId="1441219752">
    <w:abstractNumId w:val="2"/>
  </w:num>
  <w:num w:numId="14" w16cid:durableId="1094203439">
    <w:abstractNumId w:val="12"/>
  </w:num>
  <w:num w:numId="15" w16cid:durableId="1517186734">
    <w:abstractNumId w:val="9"/>
  </w:num>
  <w:num w:numId="16" w16cid:durableId="2016611770">
    <w:abstractNumId w:val="3"/>
  </w:num>
  <w:num w:numId="17" w16cid:durableId="1789818047">
    <w:abstractNumId w:val="6"/>
  </w:num>
  <w:num w:numId="18" w16cid:durableId="162195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13A"/>
    <w:rsid w:val="000279C8"/>
    <w:rsid w:val="00077267"/>
    <w:rsid w:val="00095523"/>
    <w:rsid w:val="000A1FB6"/>
    <w:rsid w:val="00103377"/>
    <w:rsid w:val="00173607"/>
    <w:rsid w:val="00181455"/>
    <w:rsid w:val="001A5298"/>
    <w:rsid w:val="001F4FD4"/>
    <w:rsid w:val="00205D68"/>
    <w:rsid w:val="0022066C"/>
    <w:rsid w:val="00224928"/>
    <w:rsid w:val="00232769"/>
    <w:rsid w:val="0023447E"/>
    <w:rsid w:val="00250B1B"/>
    <w:rsid w:val="002B013A"/>
    <w:rsid w:val="002F782F"/>
    <w:rsid w:val="00387013"/>
    <w:rsid w:val="003D2C6C"/>
    <w:rsid w:val="003F4671"/>
    <w:rsid w:val="004079C8"/>
    <w:rsid w:val="00430E0E"/>
    <w:rsid w:val="004677B6"/>
    <w:rsid w:val="00534F77"/>
    <w:rsid w:val="00587D95"/>
    <w:rsid w:val="005E0968"/>
    <w:rsid w:val="006530D5"/>
    <w:rsid w:val="00664F8C"/>
    <w:rsid w:val="00671680"/>
    <w:rsid w:val="006A6AE2"/>
    <w:rsid w:val="006C0162"/>
    <w:rsid w:val="006C5940"/>
    <w:rsid w:val="006D6A9B"/>
    <w:rsid w:val="006F092D"/>
    <w:rsid w:val="00753D59"/>
    <w:rsid w:val="007F1EAA"/>
    <w:rsid w:val="00820450"/>
    <w:rsid w:val="00842C9D"/>
    <w:rsid w:val="00864469"/>
    <w:rsid w:val="008D11A0"/>
    <w:rsid w:val="008E1288"/>
    <w:rsid w:val="008E4D3F"/>
    <w:rsid w:val="00953D39"/>
    <w:rsid w:val="00954DF3"/>
    <w:rsid w:val="009866A8"/>
    <w:rsid w:val="009A1D02"/>
    <w:rsid w:val="00A1599E"/>
    <w:rsid w:val="00A43B0F"/>
    <w:rsid w:val="00A930ED"/>
    <w:rsid w:val="00AB4DFB"/>
    <w:rsid w:val="00AC701A"/>
    <w:rsid w:val="00BE52D5"/>
    <w:rsid w:val="00C64F68"/>
    <w:rsid w:val="00C72C85"/>
    <w:rsid w:val="00CA2C27"/>
    <w:rsid w:val="00CB4EB6"/>
    <w:rsid w:val="00CD5631"/>
    <w:rsid w:val="00D17061"/>
    <w:rsid w:val="00D23A35"/>
    <w:rsid w:val="00D57896"/>
    <w:rsid w:val="00D92BC4"/>
    <w:rsid w:val="00DE4887"/>
    <w:rsid w:val="00E177F1"/>
    <w:rsid w:val="00E361DB"/>
    <w:rsid w:val="00E41200"/>
    <w:rsid w:val="00EA7E4F"/>
    <w:rsid w:val="00EC08D5"/>
    <w:rsid w:val="00F17B1A"/>
    <w:rsid w:val="00F46007"/>
    <w:rsid w:val="00F54A14"/>
    <w:rsid w:val="00FA1132"/>
    <w:rsid w:val="00FB4F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EF7F3"/>
  <w15:chartTrackingRefBased/>
  <w15:docId w15:val="{E7850F58-F921-46D8-A2C2-889B67FEC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0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0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01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01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01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01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01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01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01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01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01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01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01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01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01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01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01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013A"/>
    <w:rPr>
      <w:rFonts w:eastAsiaTheme="majorEastAsia" w:cstheme="majorBidi"/>
      <w:color w:val="272727" w:themeColor="text1" w:themeTint="D8"/>
    </w:rPr>
  </w:style>
  <w:style w:type="paragraph" w:styleId="Ttulo">
    <w:name w:val="Title"/>
    <w:basedOn w:val="Normal"/>
    <w:next w:val="Normal"/>
    <w:link w:val="TtuloCar"/>
    <w:uiPriority w:val="10"/>
    <w:qFormat/>
    <w:rsid w:val="002B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01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01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01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013A"/>
    <w:pPr>
      <w:spacing w:before="160"/>
      <w:jc w:val="center"/>
    </w:pPr>
    <w:rPr>
      <w:i/>
      <w:iCs/>
      <w:color w:val="404040" w:themeColor="text1" w:themeTint="BF"/>
    </w:rPr>
  </w:style>
  <w:style w:type="character" w:customStyle="1" w:styleId="CitaCar">
    <w:name w:val="Cita Car"/>
    <w:basedOn w:val="Fuentedeprrafopredeter"/>
    <w:link w:val="Cita"/>
    <w:uiPriority w:val="29"/>
    <w:rsid w:val="002B013A"/>
    <w:rPr>
      <w:i/>
      <w:iCs/>
      <w:color w:val="404040" w:themeColor="text1" w:themeTint="BF"/>
    </w:rPr>
  </w:style>
  <w:style w:type="paragraph" w:styleId="Prrafodelista">
    <w:name w:val="List Paragraph"/>
    <w:basedOn w:val="Normal"/>
    <w:uiPriority w:val="34"/>
    <w:qFormat/>
    <w:rsid w:val="002B013A"/>
    <w:pPr>
      <w:ind w:left="720"/>
      <w:contextualSpacing/>
    </w:pPr>
  </w:style>
  <w:style w:type="character" w:styleId="nfasisintenso">
    <w:name w:val="Intense Emphasis"/>
    <w:basedOn w:val="Fuentedeprrafopredeter"/>
    <w:uiPriority w:val="21"/>
    <w:qFormat/>
    <w:rsid w:val="002B013A"/>
    <w:rPr>
      <w:i/>
      <w:iCs/>
      <w:color w:val="0F4761" w:themeColor="accent1" w:themeShade="BF"/>
    </w:rPr>
  </w:style>
  <w:style w:type="paragraph" w:styleId="Citadestacada">
    <w:name w:val="Intense Quote"/>
    <w:basedOn w:val="Normal"/>
    <w:next w:val="Normal"/>
    <w:link w:val="CitadestacadaCar"/>
    <w:uiPriority w:val="30"/>
    <w:qFormat/>
    <w:rsid w:val="002B0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013A"/>
    <w:rPr>
      <w:i/>
      <w:iCs/>
      <w:color w:val="0F4761" w:themeColor="accent1" w:themeShade="BF"/>
    </w:rPr>
  </w:style>
  <w:style w:type="character" w:styleId="Referenciaintensa">
    <w:name w:val="Intense Reference"/>
    <w:basedOn w:val="Fuentedeprrafopredeter"/>
    <w:uiPriority w:val="32"/>
    <w:qFormat/>
    <w:rsid w:val="002B013A"/>
    <w:rPr>
      <w:b/>
      <w:bCs/>
      <w:smallCaps/>
      <w:color w:val="0F4761" w:themeColor="accent1" w:themeShade="BF"/>
      <w:spacing w:val="5"/>
    </w:rPr>
  </w:style>
  <w:style w:type="paragraph" w:styleId="Encabezado">
    <w:name w:val="header"/>
    <w:basedOn w:val="Normal"/>
    <w:link w:val="EncabezadoCar"/>
    <w:uiPriority w:val="99"/>
    <w:unhideWhenUsed/>
    <w:rsid w:val="00A930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0ED"/>
  </w:style>
  <w:style w:type="paragraph" w:styleId="Piedepgina">
    <w:name w:val="footer"/>
    <w:basedOn w:val="Normal"/>
    <w:link w:val="PiedepginaCar"/>
    <w:uiPriority w:val="99"/>
    <w:unhideWhenUsed/>
    <w:rsid w:val="00A930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0ED"/>
  </w:style>
  <w:style w:type="paragraph" w:styleId="Listaconnmeros">
    <w:name w:val="List Number"/>
    <w:basedOn w:val="Normal"/>
    <w:uiPriority w:val="99"/>
    <w:unhideWhenUsed/>
    <w:rsid w:val="006C5940"/>
    <w:pPr>
      <w:numPr>
        <w:numId w:val="18"/>
      </w:numPr>
      <w:contextualSpacing/>
    </w:pPr>
  </w:style>
  <w:style w:type="table" w:styleId="Tablaconcuadrcula">
    <w:name w:val="Table Grid"/>
    <w:basedOn w:val="Tablanormal"/>
    <w:uiPriority w:val="39"/>
    <w:rsid w:val="00095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A7E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56DF0-45A8-4F25-B248-74E434823E0F}">
  <we:reference id="wa200010453" version="1.0.0.1" store="es-ES" storeType="OMEX"/>
  <we:alternateReferences>
    <we:reference id="WA200010453" version="1.0.0.1" store="WA200010453" storeType="OMEX"/>
  </we:alternateReferences>
  <we:properties>
    <we:property name="claude.fileId" value="&quot;8e1a5e69-70fc-4809-ba12-9a166b894d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Props1.xml><?xml version="1.0" encoding="utf-8"?>
<ds:datastoreItem xmlns:ds="http://schemas.openxmlformats.org/officeDocument/2006/customXml" ds:itemID="{EBDB3842-B8B9-48EF-8247-1A5B5CB3D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884ABF-1CAD-40B6-B1FB-BA7C29C1AB29}">
  <ds:schemaRefs>
    <ds:schemaRef ds:uri="http://schemas.microsoft.com/sharepoint/v3/contenttype/forms"/>
  </ds:schemaRefs>
</ds:datastoreItem>
</file>

<file path=customXml/itemProps3.xml><?xml version="1.0" encoding="utf-8"?>
<ds:datastoreItem xmlns:ds="http://schemas.openxmlformats.org/officeDocument/2006/customXml" ds:itemID="{DEE13BF9-987E-4826-A146-D06FCA791BDE}">
  <ds:schemaRefs>
    <ds:schemaRef ds:uri="http://schemas.microsoft.com/office/2006/metadata/properties"/>
    <ds:schemaRef ds:uri="http://schemas.microsoft.com/office/infopath/2007/PartnerControls"/>
    <ds:schemaRef ds:uri="0ae40838-9c5f-493f-a866-a93c3a81f338"/>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14</Pages>
  <Words>3639</Words>
  <Characters>21144</Characters>
  <Application>Microsoft Office Word</Application>
  <DocSecurity>0</DocSecurity>
  <Lines>469</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López González del Rey</dc:creator>
  <cp:keywords/>
  <dc:description/>
  <cp:lastModifiedBy>SERGIO LÓPEZ GONZÁLEZ DEL REY</cp:lastModifiedBy>
  <cp:revision>2</cp:revision>
  <cp:lastPrinted>2026-05-11T07:08:00Z</cp:lastPrinted>
  <dcterms:created xsi:type="dcterms:W3CDTF">2026-05-11T10:22:00Z</dcterms:created>
  <dcterms:modified xsi:type="dcterms:W3CDTF">2026-05-11T10:22:00Z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