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EFC4" w14:textId="77777777" w:rsidR="00AE4C5F" w:rsidRPr="00FF276E" w:rsidRDefault="00AE4C5F">
      <w:pPr>
        <w:spacing w:after="800" w:line="240" w:lineRule="auto"/>
      </w:pPr>
      <w:r w:rsidRPr="00FF276E">
        <w:drawing>
          <wp:inline distT="0" distB="0" distL="0" distR="0" wp14:anchorId="24FD5EEC" wp14:editId="272F4287">
            <wp:extent cx="3474720"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png"/>
                    <pic:cNvPicPr/>
                  </pic:nvPicPr>
                  <pic:blipFill>
                    <a:blip r:embed="rId11"/>
                    <a:stretch>
                      <a:fillRect/>
                    </a:stretch>
                  </pic:blipFill>
                  <pic:spPr>
                    <a:xfrm>
                      <a:off x="0" y="0"/>
                      <a:ext cx="3474720" cy="411480"/>
                    </a:xfrm>
                    <a:prstGeom prst="rect">
                      <a:avLst/>
                    </a:prstGeom>
                  </pic:spPr>
                </pic:pic>
              </a:graphicData>
            </a:graphic>
          </wp:inline>
        </w:drawing>
      </w:r>
    </w:p>
    <w:p w14:paraId="7BFF29A3" w14:textId="77777777" w:rsidR="00AE4C5F" w:rsidRPr="00FF276E" w:rsidRDefault="00AE4C5F">
      <w:pPr>
        <w:spacing w:after="0" w:line="240" w:lineRule="auto"/>
      </w:pPr>
    </w:p>
    <w:p w14:paraId="06ED4097" w14:textId="77777777" w:rsidR="00AE4C5F" w:rsidRPr="00FF276E" w:rsidRDefault="00E35FF3" w:rsidP="00D20E1E">
      <w:pPr>
        <w:spacing w:after="1000" w:line="240" w:lineRule="auto"/>
        <w:jc w:val="center"/>
      </w:pPr>
      <w:r w:rsidRPr="00FF276E">
        <w:rPr>
          <w:rFonts w:ascii="Times New Roman" w:hAnsi="Times New Roman"/>
          <w:b/>
          <w:sz w:val="36"/>
        </w:rPr>
        <w:t>TRABAJO FIN DE MÁSTER</w:t>
      </w:r>
    </w:p>
    <w:p w14:paraId="56D38365" w14:textId="77777777" w:rsidR="00237D4B" w:rsidRPr="00FF276E" w:rsidRDefault="00237D4B" w:rsidP="00D20E1E">
      <w:pPr>
        <w:spacing w:after="0" w:line="240" w:lineRule="auto"/>
        <w:jc w:val="center"/>
      </w:pPr>
    </w:p>
    <w:p w14:paraId="0B64AFC8" w14:textId="77777777" w:rsidR="00237D4B" w:rsidRPr="00FF276E" w:rsidRDefault="00237D4B" w:rsidP="00D20E1E">
      <w:pPr>
        <w:keepNext/>
        <w:spacing w:after="0" w:line="240" w:lineRule="auto"/>
        <w:jc w:val="center"/>
      </w:pPr>
    </w:p>
    <w:p w14:paraId="30B84953" w14:textId="77777777" w:rsidR="00237D4B" w:rsidRPr="00FF276E" w:rsidRDefault="00E35FF3" w:rsidP="00D20E1E">
      <w:pPr>
        <w:spacing w:after="1000" w:line="240" w:lineRule="auto"/>
        <w:jc w:val="center"/>
        <w:rPr>
          <w:sz w:val="40"/>
          <w:szCs w:val="40"/>
        </w:rPr>
      </w:pPr>
      <w:r w:rsidRPr="00FF276E">
        <w:rPr>
          <w:rFonts w:ascii="Times New Roman" w:hAnsi="Times New Roman"/>
          <w:b/>
          <w:sz w:val="48"/>
          <w:szCs w:val="40"/>
        </w:rPr>
        <w:t>Predicción de la expansión de variantes de</w:t>
      </w:r>
      <w:r w:rsidR="00D20E1E" w:rsidRPr="00FF276E">
        <w:rPr>
          <w:rFonts w:ascii="Times New Roman" w:hAnsi="Times New Roman"/>
          <w:b/>
          <w:sz w:val="48"/>
          <w:szCs w:val="40"/>
        </w:rPr>
        <w:t xml:space="preserve"> </w:t>
      </w:r>
      <w:r w:rsidRPr="00FF276E">
        <w:rPr>
          <w:rFonts w:ascii="Times New Roman" w:hAnsi="Times New Roman"/>
          <w:b/>
          <w:sz w:val="48"/>
          <w:szCs w:val="40"/>
        </w:rPr>
        <w:t>SARS-CoV-2 en la población mediante</w:t>
      </w:r>
      <w:r w:rsidR="00D20E1E" w:rsidRPr="00FF276E">
        <w:rPr>
          <w:rFonts w:ascii="Times New Roman" w:hAnsi="Times New Roman"/>
          <w:b/>
          <w:sz w:val="48"/>
          <w:szCs w:val="40"/>
        </w:rPr>
        <w:t xml:space="preserve"> </w:t>
      </w:r>
      <w:r w:rsidRPr="00FF276E">
        <w:rPr>
          <w:rFonts w:ascii="Times New Roman" w:hAnsi="Times New Roman"/>
          <w:b/>
          <w:sz w:val="48"/>
          <w:szCs w:val="40"/>
        </w:rPr>
        <w:t>aprendizaje automático</w:t>
      </w:r>
    </w:p>
    <w:p w14:paraId="28E1BB70" w14:textId="77777777" w:rsidR="00AE4C5F" w:rsidRPr="00FF276E" w:rsidRDefault="00AE4C5F" w:rsidP="00D20E1E">
      <w:pPr>
        <w:spacing w:after="0" w:line="240" w:lineRule="auto"/>
        <w:jc w:val="center"/>
      </w:pPr>
    </w:p>
    <w:p w14:paraId="76E079B2" w14:textId="77777777" w:rsidR="00AE4C5F" w:rsidRPr="00FF276E" w:rsidRDefault="00AE4C5F" w:rsidP="00D20E1E">
      <w:pPr>
        <w:spacing w:after="240" w:line="240" w:lineRule="auto"/>
        <w:jc w:val="center"/>
        <w:rPr>
          <w:sz w:val="36"/>
          <w:szCs w:val="36"/>
        </w:rPr>
      </w:pPr>
      <w:r w:rsidRPr="00FF276E">
        <w:rPr>
          <w:b/>
          <w:sz w:val="36"/>
          <w:szCs w:val="36"/>
        </w:rPr>
        <w:t>Máster Universitario en</w:t>
      </w:r>
      <w:r w:rsidR="00D20E1E" w:rsidRPr="00FF276E">
        <w:rPr>
          <w:sz w:val="36"/>
          <w:szCs w:val="36"/>
        </w:rPr>
        <w:t xml:space="preserve"> </w:t>
      </w:r>
      <w:r w:rsidRPr="00FF276E">
        <w:rPr>
          <w:b/>
          <w:sz w:val="36"/>
          <w:szCs w:val="36"/>
        </w:rPr>
        <w:t>Sistemas Interactivos Inteligentes</w:t>
      </w:r>
    </w:p>
    <w:p w14:paraId="1CA9A2D8" w14:textId="77777777" w:rsidR="00AE4C5F" w:rsidRPr="00FF276E" w:rsidRDefault="00AE4C5F" w:rsidP="00D20E1E">
      <w:pPr>
        <w:spacing w:after="0" w:line="240" w:lineRule="auto"/>
        <w:jc w:val="center"/>
      </w:pPr>
    </w:p>
    <w:p w14:paraId="32D8F1A4" w14:textId="77777777" w:rsidR="00AE4C5F" w:rsidRPr="00FF276E" w:rsidRDefault="00AE4C5F" w:rsidP="00D20E1E">
      <w:pPr>
        <w:spacing w:after="0" w:line="240" w:lineRule="auto"/>
        <w:jc w:val="center"/>
      </w:pPr>
    </w:p>
    <w:p w14:paraId="47BAEAC2" w14:textId="77777777" w:rsidR="00AE4C5F" w:rsidRPr="00FF276E" w:rsidRDefault="00AE4C5F" w:rsidP="00D20E1E">
      <w:pPr>
        <w:spacing w:after="0" w:line="240" w:lineRule="auto"/>
        <w:jc w:val="center"/>
      </w:pPr>
    </w:p>
    <w:p w14:paraId="68CCE792" w14:textId="77777777" w:rsidR="00AE4C5F" w:rsidRPr="00FF276E" w:rsidRDefault="00AE4C5F" w:rsidP="00D20E1E">
      <w:pPr>
        <w:spacing w:after="400" w:line="240" w:lineRule="auto"/>
        <w:jc w:val="center"/>
      </w:pPr>
      <w:r w:rsidRPr="00FF276E">
        <w:rPr>
          <w:b/>
          <w:sz w:val="28"/>
        </w:rPr>
        <w:t>Autor: López González del Rey, Sergio</w:t>
      </w:r>
    </w:p>
    <w:p w14:paraId="17DCB6BD" w14:textId="77777777" w:rsidR="00AE4C5F" w:rsidRPr="00FF276E" w:rsidRDefault="00AE4C5F" w:rsidP="00D20E1E">
      <w:pPr>
        <w:spacing w:after="80" w:line="240" w:lineRule="auto"/>
        <w:jc w:val="center"/>
        <w:rPr>
          <w:u w:val="single"/>
        </w:rPr>
      </w:pPr>
      <w:r w:rsidRPr="00FF276E">
        <w:rPr>
          <w:b/>
          <w:sz w:val="28"/>
        </w:rPr>
        <w:t>Tutor: Sánchez-Montañés Isla, Manuel</w:t>
      </w:r>
    </w:p>
    <w:p w14:paraId="095B3D51" w14:textId="77777777" w:rsidR="00AE4C5F" w:rsidRPr="00FF276E" w:rsidRDefault="00AE4C5F" w:rsidP="00D20E1E">
      <w:pPr>
        <w:spacing w:after="400" w:line="240" w:lineRule="auto"/>
        <w:jc w:val="center"/>
      </w:pPr>
      <w:r w:rsidRPr="00FF276E">
        <w:rPr>
          <w:b/>
          <w:sz w:val="28"/>
        </w:rPr>
        <w:t>Departamento de</w:t>
      </w:r>
      <w:r w:rsidR="00D20E1E" w:rsidRPr="00FF276E">
        <w:rPr>
          <w:b/>
          <w:sz w:val="28"/>
        </w:rPr>
        <w:t xml:space="preserve"> </w:t>
      </w:r>
      <w:r w:rsidRPr="00FF276E">
        <w:rPr>
          <w:b/>
          <w:sz w:val="28"/>
        </w:rPr>
        <w:t>Ingeniería Informática</w:t>
      </w:r>
    </w:p>
    <w:p w14:paraId="0C4BF8F0" w14:textId="77777777" w:rsidR="00AE4C5F" w:rsidRPr="00FF276E" w:rsidRDefault="00E35FF3" w:rsidP="00D20E1E">
      <w:pPr>
        <w:spacing w:after="0" w:line="240" w:lineRule="auto"/>
        <w:jc w:val="center"/>
      </w:pPr>
      <w:r w:rsidRPr="00FF276E">
        <w:rPr>
          <w:b/>
          <w:sz w:val="32"/>
        </w:rPr>
        <w:t>FECHA:</w:t>
      </w:r>
      <w:r w:rsidRPr="00FF276E">
        <w:rPr>
          <w:b/>
          <w:sz w:val="28"/>
        </w:rPr>
        <w:t xml:space="preserve">    Septiembre, 2026</w:t>
      </w:r>
    </w:p>
    <w:p w14:paraId="5999BE9E" w14:textId="77777777" w:rsidR="00AE4C5F" w:rsidRPr="00FF276E" w:rsidRDefault="00AE4C5F">
      <w:pPr>
        <w:spacing w:after="0" w:line="240" w:lineRule="auto"/>
      </w:pPr>
    </w:p>
    <w:p w14:paraId="7A328C69" w14:textId="77777777" w:rsidR="00AE4C5F" w:rsidRPr="00FF276E" w:rsidRDefault="00E35FF3">
      <w:r w:rsidRPr="00FF276E">
        <w:br w:type="page"/>
      </w:r>
    </w:p>
    <w:p w14:paraId="00419042" w14:textId="77777777" w:rsidR="00AE4C5F" w:rsidRPr="00FF276E" w:rsidRDefault="00E35FF3">
      <w:pPr>
        <w:pStyle w:val="Ttulo1"/>
        <w:rPr>
          <w:color w:val="1F497D"/>
        </w:rPr>
      </w:pPr>
      <w:bookmarkStart w:id="0" w:name="_Toc234787598"/>
      <w:bookmarkStart w:id="1" w:name="_Toc238464619"/>
      <w:r w:rsidRPr="00FF276E">
        <w:rPr>
          <w:color w:val="1F497D"/>
        </w:rPr>
        <w:lastRenderedPageBreak/>
        <w:t>Resumen</w:t>
      </w:r>
      <w:bookmarkEnd w:id="0"/>
      <w:bookmarkEnd w:id="1"/>
    </w:p>
    <w:p w14:paraId="6E47EE0B" w14:textId="77777777" w:rsidR="00AE4C5F" w:rsidRPr="00E20B2F" w:rsidRDefault="007406D4" w:rsidP="00E20B2F">
      <w:pPr>
        <w:jc w:val="both"/>
      </w:pPr>
      <w:r w:rsidRPr="00E20B2F">
        <w:t>La dinámica evolutiva del SARS-CoV-2 se caracteriza por la emergencia y posterior dominancia de variantes víricas en escalas temporales de pocos meses. Ello tiene una implicación directa en la vigilancia genómica, en la evaluación del riesgo epidemiológico y en la actualización periódica de vacunas. En este contexto, el desarrollo de metodologías capaces de anticipar las próximas variantes dominantes del virus con suficiente antelación representa un objetivo de gran relevancia en salud pública. En el caso del SARS-CoV-2, la rápida acumulación de cambios genéticos y el gran volumen de secuencias genómicas disponibles convierten esta tarea en un desafío metodológico de gran exigencia. Este Trabajo Fin de Máster aborda ese reto construyendo un sistema capaz de aprender, únicamente a partir del historial pasado del virus, qué variantes tienen más probabilidad de imponerse en el futuro inmediato.</w:t>
      </w:r>
    </w:p>
    <w:p w14:paraId="5884136F" w14:textId="77777777" w:rsidR="00AE4C5F" w:rsidRPr="00E20B2F" w:rsidRDefault="00E20B2F" w:rsidP="00E20B2F">
      <w:pPr>
        <w:jc w:val="both"/>
      </w:pPr>
      <w:r>
        <w:t>El sistema se entrenó usando aproximadamente 17 millones de secuencias del repositorio internacional GISAID y combina dos capas complementarias. La primera es un clasificador de aprendizaje automático (LightGBM, seleccionado tras compararlo empíricamente con regresión logística, random forest y gradient boosting genérico, 4.4.1) que estima, para cada linaje y para cada mutación de interés, la probabilidad de que alcance un umbral de dominancia en las semanas siguientes; su capacidad para distinguir las variantes que dominarán de las que no es alta (AUC, área bajo la curva ROC, en torno a 0.88-0.92, en una escala donde 0.5 es azar y 1.0 es perfecto). La segunda capa es un modelo de supervivencia (Cox de riesgos proporcionales), la herramienta clásica en bioestadística para estimar cuánto tardará en ocurrir un evento; aquí estima cuántas semanas faltan hasta que una variante se vuelva dominante. Ambas capas se integran en una proyección semanal de las frecuencias de variantes, interpretable y biológicamente coherente.</w:t>
      </w:r>
    </w:p>
    <w:p w14:paraId="5DEA5FB7" w14:textId="77777777" w:rsidR="00AE4C5F" w:rsidRPr="00E20B2F" w:rsidRDefault="00E20B2F" w:rsidP="00E20B2F">
      <w:pPr>
        <w:jc w:val="both"/>
      </w:pPr>
      <w:r>
        <w:t>La preocupación metodológica central es evitar las filtraciones de datos (data leakage): que el modelo aprenda sin darse cuenta información del futuro, lo que lo haría parecer mejor de lo que realmente es. Todo el sistema se diseñó para que cada ejemplo de entrenamiento contenga solo lo conocido en ese momento, y la ausencia de fugas se comprueba de forma empírica. La prueba más exigente fue prospectiva: se dejó correr el sistema contra datos reales posteriores a su entrenamiento (junio de 2026), que confirmaron la transición de dominancia observada y corrigieron el principal fallo del método de referencia, que anticipaba equivocadamente a la variante PY como futura dominante (7.8).</w:t>
      </w:r>
    </w:p>
    <w:p w14:paraId="0366D9E2" w14:textId="77777777" w:rsidR="00AE4C5F" w:rsidRPr="00E20B2F" w:rsidRDefault="00E20B2F" w:rsidP="00E20B2F">
      <w:pPr>
        <w:jc w:val="both"/>
      </w:pPr>
      <w:r w:rsidRPr="00E20B2F">
        <w:t xml:space="preserve">Más allá de la predicción, el sistema arroja hallazgos coherentes con lo que se sabe de la evolución del SARS-CoV-2. El análisis de interpretabilidad (SHAP) muestra que la señal más informativa a nivel de mutación es la convergencia evolutiva del virus (que una misma mutación aparezca de forma independiente en varios linajes a la vez), seguida de su posición en el dominio de unión al receptor (RBD) de la proteína Spike, la región donde se concentra el escape a los anticuerpos; a nivel de linaje pesan más el número de mutaciones de escape inmune acumuladas y la antigüedad de la variante. Por último, una validación biológica independiente sobre 28 pacientes, mediante secuenciación ultra-profunda, encontró en 9 de ellos firmas mutacionales de variantes Omicron con una mediana de unas 45 semanas antes de que esas variantes pudieran detectarse en la vigilancia global. Este resultado </w:t>
      </w:r>
      <w:r w:rsidRPr="00E20B2F">
        <w:lastRenderedPageBreak/>
        <w:t>constituye una prueba de concepto de que la diversidad genética viral dentro de cada individuo puede anticipar cambios evolutivos que posteriormente se observan a nivel poblacional.</w:t>
      </w:r>
    </w:p>
    <w:p w14:paraId="1BC163E2" w14:textId="77777777" w:rsidR="00AE4C5F" w:rsidRPr="00FF276E" w:rsidRDefault="00E35FF3" w:rsidP="00E20B2F">
      <w:pPr>
        <w:jc w:val="both"/>
      </w:pPr>
      <w:r w:rsidRPr="00FF276E">
        <w:rPr>
          <w:i/>
        </w:rPr>
        <w:t xml:space="preserve">Palabras clave: SARS-CoV-2, GISAID, espectro de mutantes, LightGBM, análisis de supervivencia, vigilancia genómica, predicción de variantes, </w:t>
      </w:r>
      <w:r w:rsidRPr="002D0178">
        <w:rPr>
          <w:i/>
        </w:rPr>
        <w:t>validación progresiva</w:t>
      </w:r>
      <w:r w:rsidRPr="00FF276E">
        <w:rPr>
          <w:i/>
        </w:rPr>
        <w:t>, SHAP, evolución convergente.</w:t>
      </w:r>
    </w:p>
    <w:p w14:paraId="53EE7703" w14:textId="77777777" w:rsidR="00AE4C5F" w:rsidRPr="00FF276E" w:rsidRDefault="00E35FF3">
      <w:pPr>
        <w:pStyle w:val="Ttulo1"/>
        <w:rPr>
          <w:color w:val="1F497D"/>
        </w:rPr>
      </w:pPr>
      <w:bookmarkStart w:id="2" w:name="_Toc234787599"/>
      <w:bookmarkStart w:id="3" w:name="_Toc238464620"/>
      <w:r w:rsidRPr="1A1DBA1C">
        <w:rPr>
          <w:color w:val="1F497D" w:themeColor="text2"/>
        </w:rPr>
        <w:lastRenderedPageBreak/>
        <w:t>Abstract</w:t>
      </w:r>
      <w:bookmarkEnd w:id="2"/>
      <w:bookmarkEnd w:id="3"/>
    </w:p>
    <w:p w14:paraId="7E589530" w14:textId="77777777" w:rsidR="00AE4C5F" w:rsidRPr="00463084" w:rsidRDefault="00CD3682" w:rsidP="00463084">
      <w:pPr>
        <w:jc w:val="both"/>
        <w:rPr>
          <w:lang w:val="en-US"/>
        </w:rPr>
      </w:pPr>
      <w:r w:rsidRPr="00463084">
        <w:rPr>
          <w:lang w:val="en-US"/>
        </w:rPr>
        <w:t>Every few months, a new SARS-CoV-2 variant displaces the dominant one and forces vaccines, genomic surveillance and public risk communication to be readjusted. Anticipating which variant will prevail, a few weeks in advance, would carry immediate public-health value; but the speed of viral evolution and the sheer volume of available sequences make this a demanding methodological challenge. This Master's Thesis addresses it by building a system that learns, using only the virus's past history, which variants are most likely to prevail in the near future.</w:t>
      </w:r>
    </w:p>
    <w:p w14:paraId="2760503E" w14:textId="77777777" w:rsidR="00AE4C5F" w:rsidRPr="00463084" w:rsidRDefault="00463084" w:rsidP="00463084">
      <w:pPr>
        <w:jc w:val="both"/>
        <w:rPr>
          <w:lang w:val="en-US"/>
        </w:rPr>
      </w:pPr>
      <w:r w:rsidRPr="00463084">
        <w:rPr>
          <w:lang w:val="en-US"/>
        </w:rPr>
        <w:t>The system is trained on nearly 17 million sequences from the international GISAID repository and combines two complementary layers. The first is a machine-learning classifier (LightGBM, selected after empirically benchmarking it against logistic regression, random forest and generic gradient boosting, 4.4.1) that estimates, for each lineage and each mutation of interest, the probability of reaching a dominance threshold in the following weeks; its ability to tell the variants that will succeed from those that will not is high (AUC, area under the ROC curve, around 0.88-0.92, on a scale where 0.5 is chance and 1.0 is perfect). The second layer is a survival model (Cox proportional hazards), the classical biostatistics tool for estimating how long until an event occurs; here it estimates how many weeks remain until a variant becomes dominant. Both layers feed a weekly, interpretable and biologically coherent projection of variant frequencies.</w:t>
      </w:r>
    </w:p>
    <w:p w14:paraId="34F33377" w14:textId="77777777" w:rsidR="00AE4C5F" w:rsidRPr="00463084" w:rsidRDefault="00463084" w:rsidP="00463084">
      <w:pPr>
        <w:jc w:val="both"/>
        <w:rPr>
          <w:lang w:val="en-US"/>
        </w:rPr>
      </w:pPr>
      <w:r w:rsidRPr="00463084">
        <w:rPr>
          <w:lang w:val="en-US"/>
        </w:rPr>
        <w:t>The core methodological concern is avoiding data leakage: the model unknowingly learning information from the future, which would make it appear better than it truly is. The whole system was designed so that each training example contains only what was known at that moment, and the absence of leakage is verified empirically. The most demanding test was prospective: the system was run against real data postdating its training (June 2026), which confirmed the observed dominance transition and corrected the main failure of the empirical baseline, which wrongly anticipated the PY variant as the future dominant one (7.8).</w:t>
      </w:r>
    </w:p>
    <w:p w14:paraId="710A2702" w14:textId="77777777" w:rsidR="00AE4C5F" w:rsidRPr="00463084" w:rsidRDefault="00463084" w:rsidP="00463084">
      <w:pPr>
        <w:jc w:val="both"/>
        <w:rPr>
          <w:lang w:val="en-US"/>
        </w:rPr>
      </w:pPr>
      <w:r w:rsidRPr="00463084">
        <w:rPr>
          <w:lang w:val="en-US"/>
        </w:rPr>
        <w:t>Beyond prediction, the system yields findings consistent with what is known about the virus's evolution. Interpretability analysis (SHAP) shows that the most informative signal at the mutation level is recent evolutionary convergence (the same mutation appearing independently across several lineages at once), followed by its position in the receptor-binding domain (RBD) of the Spike protein, where antibody escape concentrates; at the lineage level, accumulated immune escape and variant age weigh most. Finally, an independent biological validation on 28 patients, using ultra-deep sequencing, found in 9 of them mutational signatures of Omicron variants a median of about 45 weeks before those variants became visible in global surveillance: a proof of concept that within-host viral diversity can anticipate what later happens in the population.</w:t>
      </w:r>
    </w:p>
    <w:p w14:paraId="2D875C35" w14:textId="77777777" w:rsidR="00005360" w:rsidRPr="00463084" w:rsidRDefault="00E35FF3" w:rsidP="00463084">
      <w:pPr>
        <w:jc w:val="both"/>
        <w:rPr>
          <w:lang w:val="en-US"/>
        </w:rPr>
      </w:pPr>
      <w:r w:rsidRPr="00463084">
        <w:rPr>
          <w:i/>
          <w:lang w:val="en-US"/>
        </w:rPr>
        <w:t>Keywords: SARS-CoV-2, GISAID, mutant spectrum, LightGBM, survival analysis, genomic surveillance, variant prediction, walk-forward validation, SHAP, convergent evolution.</w:t>
      </w:r>
    </w:p>
    <w:sdt>
      <w:sdtPr>
        <w:rPr>
          <w:rFonts w:ascii="Calibri" w:eastAsiaTheme="minorEastAsia" w:hAnsi="Calibri" w:cstheme="minorBidi"/>
          <w:b w:val="0"/>
          <w:bCs w:val="0"/>
          <w:color w:val="auto"/>
          <w:sz w:val="22"/>
          <w:szCs w:val="22"/>
        </w:rPr>
        <w:id w:val="1501462863"/>
        <w:docPartObj>
          <w:docPartGallery w:val="Table of Contents"/>
          <w:docPartUnique/>
        </w:docPartObj>
      </w:sdtPr>
      <w:sdtContent>
        <w:p w14:paraId="3CE9270F" w14:textId="77777777" w:rsidR="00193A64" w:rsidRPr="00FF276E" w:rsidRDefault="00193A64">
          <w:pPr>
            <w:pStyle w:val="TtuloTDC"/>
          </w:pPr>
          <w:r w:rsidRPr="00FF276E">
            <w:t>Contenido</w:t>
          </w:r>
        </w:p>
        <w:p w14:paraId="32F9CDD8" w14:textId="54A527FF" w:rsidR="0072479D" w:rsidRDefault="00193A64">
          <w:pPr>
            <w:pStyle w:val="TDC1"/>
            <w:tabs>
              <w:tab w:val="right" w:leader="dot" w:pos="9112"/>
            </w:tabs>
            <w:rPr>
              <w:rFonts w:asciiTheme="minorHAnsi" w:hAnsiTheme="minorHAnsi"/>
              <w:kern w:val="2"/>
              <w:sz w:val="24"/>
              <w:szCs w:val="24"/>
              <w:lang w:eastAsia="es-ES"/>
              <w14:ligatures w14:val="standardContextual"/>
            </w:rPr>
          </w:pPr>
          <w:r w:rsidRPr="00FF276E">
            <w:fldChar w:fldCharType="begin"/>
          </w:r>
          <w:r w:rsidRPr="00FF276E">
            <w:instrText xml:space="preserve"> TOC \o "1-3" \h \z \u </w:instrText>
          </w:r>
          <w:r w:rsidRPr="00FF276E">
            <w:fldChar w:fldCharType="separate"/>
          </w:r>
          <w:hyperlink w:anchor="_Toc238464619" w:history="1">
            <w:r w:rsidR="0072479D" w:rsidRPr="000E11B0">
              <w:rPr>
                <w:rStyle w:val="Hipervnculo"/>
              </w:rPr>
              <w:t>Resumen</w:t>
            </w:r>
            <w:r w:rsidR="0072479D">
              <w:rPr>
                <w:webHidden/>
              </w:rPr>
              <w:tab/>
            </w:r>
            <w:r w:rsidR="0072479D">
              <w:rPr>
                <w:webHidden/>
              </w:rPr>
              <w:fldChar w:fldCharType="begin"/>
            </w:r>
            <w:r w:rsidR="0072479D">
              <w:rPr>
                <w:webHidden/>
              </w:rPr>
              <w:instrText xml:space="preserve"> PAGEREF _Toc238464619 \h </w:instrText>
            </w:r>
            <w:r w:rsidR="0072479D">
              <w:rPr>
                <w:webHidden/>
              </w:rPr>
            </w:r>
            <w:r w:rsidR="0072479D">
              <w:rPr>
                <w:webHidden/>
              </w:rPr>
              <w:fldChar w:fldCharType="separate"/>
            </w:r>
            <w:r w:rsidR="0072479D">
              <w:rPr>
                <w:webHidden/>
              </w:rPr>
              <w:t>2</w:t>
            </w:r>
            <w:r w:rsidR="0072479D">
              <w:rPr>
                <w:webHidden/>
              </w:rPr>
              <w:fldChar w:fldCharType="end"/>
            </w:r>
          </w:hyperlink>
        </w:p>
        <w:p w14:paraId="345AA073" w14:textId="0FB02FE8"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20" w:history="1">
            <w:r w:rsidRPr="000E11B0">
              <w:rPr>
                <w:rStyle w:val="Hipervnculo"/>
              </w:rPr>
              <w:t>Abstract</w:t>
            </w:r>
            <w:r>
              <w:rPr>
                <w:webHidden/>
              </w:rPr>
              <w:tab/>
            </w:r>
            <w:r>
              <w:rPr>
                <w:webHidden/>
              </w:rPr>
              <w:fldChar w:fldCharType="begin"/>
            </w:r>
            <w:r>
              <w:rPr>
                <w:webHidden/>
              </w:rPr>
              <w:instrText xml:space="preserve"> PAGEREF _Toc238464620 \h </w:instrText>
            </w:r>
            <w:r>
              <w:rPr>
                <w:webHidden/>
              </w:rPr>
            </w:r>
            <w:r>
              <w:rPr>
                <w:webHidden/>
              </w:rPr>
              <w:fldChar w:fldCharType="separate"/>
            </w:r>
            <w:r>
              <w:rPr>
                <w:webHidden/>
              </w:rPr>
              <w:t>4</w:t>
            </w:r>
            <w:r>
              <w:rPr>
                <w:webHidden/>
              </w:rPr>
              <w:fldChar w:fldCharType="end"/>
            </w:r>
          </w:hyperlink>
        </w:p>
        <w:p w14:paraId="13CA3279" w14:textId="7CF47C51"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21" w:history="1">
            <w:r w:rsidRPr="000E11B0">
              <w:rPr>
                <w:rStyle w:val="Hipervnculo"/>
              </w:rPr>
              <w:t>1. Introducción</w:t>
            </w:r>
            <w:r>
              <w:rPr>
                <w:webHidden/>
              </w:rPr>
              <w:tab/>
            </w:r>
            <w:r>
              <w:rPr>
                <w:webHidden/>
              </w:rPr>
              <w:fldChar w:fldCharType="begin"/>
            </w:r>
            <w:r>
              <w:rPr>
                <w:webHidden/>
              </w:rPr>
              <w:instrText xml:space="preserve"> PAGEREF _Toc238464621 \h </w:instrText>
            </w:r>
            <w:r>
              <w:rPr>
                <w:webHidden/>
              </w:rPr>
            </w:r>
            <w:r>
              <w:rPr>
                <w:webHidden/>
              </w:rPr>
              <w:fldChar w:fldCharType="separate"/>
            </w:r>
            <w:r>
              <w:rPr>
                <w:webHidden/>
              </w:rPr>
              <w:t>8</w:t>
            </w:r>
            <w:r>
              <w:rPr>
                <w:webHidden/>
              </w:rPr>
              <w:fldChar w:fldCharType="end"/>
            </w:r>
          </w:hyperlink>
        </w:p>
        <w:p w14:paraId="4EFF0580" w14:textId="4CFD109E"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2" w:history="1">
            <w:r w:rsidRPr="000E11B0">
              <w:rPr>
                <w:rStyle w:val="Hipervnculo"/>
              </w:rPr>
              <w:t>1.1. Contexto epidemiológico</w:t>
            </w:r>
            <w:r>
              <w:rPr>
                <w:webHidden/>
              </w:rPr>
              <w:tab/>
            </w:r>
            <w:r>
              <w:rPr>
                <w:webHidden/>
              </w:rPr>
              <w:fldChar w:fldCharType="begin"/>
            </w:r>
            <w:r>
              <w:rPr>
                <w:webHidden/>
              </w:rPr>
              <w:instrText xml:space="preserve"> PAGEREF _Toc238464622 \h </w:instrText>
            </w:r>
            <w:r>
              <w:rPr>
                <w:webHidden/>
              </w:rPr>
            </w:r>
            <w:r>
              <w:rPr>
                <w:webHidden/>
              </w:rPr>
              <w:fldChar w:fldCharType="separate"/>
            </w:r>
            <w:r>
              <w:rPr>
                <w:webHidden/>
              </w:rPr>
              <w:t>8</w:t>
            </w:r>
            <w:r>
              <w:rPr>
                <w:webHidden/>
              </w:rPr>
              <w:fldChar w:fldCharType="end"/>
            </w:r>
          </w:hyperlink>
        </w:p>
        <w:p w14:paraId="2882EC86" w14:textId="18BBC9CB"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3" w:history="1">
            <w:r w:rsidRPr="000E11B0">
              <w:rPr>
                <w:rStyle w:val="Hipervnculo"/>
              </w:rPr>
              <w:t>1.2. Motivación y problema</w:t>
            </w:r>
            <w:r>
              <w:rPr>
                <w:webHidden/>
              </w:rPr>
              <w:tab/>
            </w:r>
            <w:r>
              <w:rPr>
                <w:webHidden/>
              </w:rPr>
              <w:fldChar w:fldCharType="begin"/>
            </w:r>
            <w:r>
              <w:rPr>
                <w:webHidden/>
              </w:rPr>
              <w:instrText xml:space="preserve"> PAGEREF _Toc238464623 \h </w:instrText>
            </w:r>
            <w:r>
              <w:rPr>
                <w:webHidden/>
              </w:rPr>
            </w:r>
            <w:r>
              <w:rPr>
                <w:webHidden/>
              </w:rPr>
              <w:fldChar w:fldCharType="separate"/>
            </w:r>
            <w:r>
              <w:rPr>
                <w:webHidden/>
              </w:rPr>
              <w:t>8</w:t>
            </w:r>
            <w:r>
              <w:rPr>
                <w:webHidden/>
              </w:rPr>
              <w:fldChar w:fldCharType="end"/>
            </w:r>
          </w:hyperlink>
        </w:p>
        <w:p w14:paraId="41B88F2C" w14:textId="6A5420A8"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4" w:history="1">
            <w:r w:rsidRPr="000E11B0">
              <w:rPr>
                <w:rStyle w:val="Hipervnculo"/>
              </w:rPr>
              <w:t>1.3. Objetivos</w:t>
            </w:r>
            <w:r>
              <w:rPr>
                <w:webHidden/>
              </w:rPr>
              <w:tab/>
            </w:r>
            <w:r>
              <w:rPr>
                <w:webHidden/>
              </w:rPr>
              <w:fldChar w:fldCharType="begin"/>
            </w:r>
            <w:r>
              <w:rPr>
                <w:webHidden/>
              </w:rPr>
              <w:instrText xml:space="preserve"> PAGEREF _Toc238464624 \h </w:instrText>
            </w:r>
            <w:r>
              <w:rPr>
                <w:webHidden/>
              </w:rPr>
            </w:r>
            <w:r>
              <w:rPr>
                <w:webHidden/>
              </w:rPr>
              <w:fldChar w:fldCharType="separate"/>
            </w:r>
            <w:r>
              <w:rPr>
                <w:webHidden/>
              </w:rPr>
              <w:t>9</w:t>
            </w:r>
            <w:r>
              <w:rPr>
                <w:webHidden/>
              </w:rPr>
              <w:fldChar w:fldCharType="end"/>
            </w:r>
          </w:hyperlink>
        </w:p>
        <w:p w14:paraId="60595131" w14:textId="1694F368"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5" w:history="1">
            <w:r w:rsidRPr="000E11B0">
              <w:rPr>
                <w:rStyle w:val="Hipervnculo"/>
              </w:rPr>
              <w:t>1.4. Estructura del documento</w:t>
            </w:r>
            <w:r>
              <w:rPr>
                <w:webHidden/>
              </w:rPr>
              <w:tab/>
            </w:r>
            <w:r>
              <w:rPr>
                <w:webHidden/>
              </w:rPr>
              <w:fldChar w:fldCharType="begin"/>
            </w:r>
            <w:r>
              <w:rPr>
                <w:webHidden/>
              </w:rPr>
              <w:instrText xml:space="preserve"> PAGEREF _Toc238464625 \h </w:instrText>
            </w:r>
            <w:r>
              <w:rPr>
                <w:webHidden/>
              </w:rPr>
            </w:r>
            <w:r>
              <w:rPr>
                <w:webHidden/>
              </w:rPr>
              <w:fldChar w:fldCharType="separate"/>
            </w:r>
            <w:r>
              <w:rPr>
                <w:webHidden/>
              </w:rPr>
              <w:t>10</w:t>
            </w:r>
            <w:r>
              <w:rPr>
                <w:webHidden/>
              </w:rPr>
              <w:fldChar w:fldCharType="end"/>
            </w:r>
          </w:hyperlink>
        </w:p>
        <w:p w14:paraId="5D8CA635" w14:textId="2A4D1A75"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26" w:history="1">
            <w:r w:rsidRPr="000E11B0">
              <w:rPr>
                <w:rStyle w:val="Hipervnculo"/>
              </w:rPr>
              <w:t>2. Estado del Arte</w:t>
            </w:r>
            <w:r>
              <w:rPr>
                <w:webHidden/>
              </w:rPr>
              <w:tab/>
            </w:r>
            <w:r>
              <w:rPr>
                <w:webHidden/>
              </w:rPr>
              <w:fldChar w:fldCharType="begin"/>
            </w:r>
            <w:r>
              <w:rPr>
                <w:webHidden/>
              </w:rPr>
              <w:instrText xml:space="preserve"> PAGEREF _Toc238464626 \h </w:instrText>
            </w:r>
            <w:r>
              <w:rPr>
                <w:webHidden/>
              </w:rPr>
            </w:r>
            <w:r>
              <w:rPr>
                <w:webHidden/>
              </w:rPr>
              <w:fldChar w:fldCharType="separate"/>
            </w:r>
            <w:r>
              <w:rPr>
                <w:webHidden/>
              </w:rPr>
              <w:t>11</w:t>
            </w:r>
            <w:r>
              <w:rPr>
                <w:webHidden/>
              </w:rPr>
              <w:fldChar w:fldCharType="end"/>
            </w:r>
          </w:hyperlink>
        </w:p>
        <w:p w14:paraId="77D11E2F" w14:textId="7B4C409C"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7" w:history="1">
            <w:r w:rsidRPr="000E11B0">
              <w:rPr>
                <w:rStyle w:val="Hipervnculo"/>
              </w:rPr>
              <w:t>2.1. Predicción computacional de la evolución y la eficacia biológica viral</w:t>
            </w:r>
            <w:r>
              <w:rPr>
                <w:webHidden/>
              </w:rPr>
              <w:tab/>
            </w:r>
            <w:r>
              <w:rPr>
                <w:webHidden/>
              </w:rPr>
              <w:fldChar w:fldCharType="begin"/>
            </w:r>
            <w:r>
              <w:rPr>
                <w:webHidden/>
              </w:rPr>
              <w:instrText xml:space="preserve"> PAGEREF _Toc238464627 \h </w:instrText>
            </w:r>
            <w:r>
              <w:rPr>
                <w:webHidden/>
              </w:rPr>
            </w:r>
            <w:r>
              <w:rPr>
                <w:webHidden/>
              </w:rPr>
              <w:fldChar w:fldCharType="separate"/>
            </w:r>
            <w:r>
              <w:rPr>
                <w:webHidden/>
              </w:rPr>
              <w:t>11</w:t>
            </w:r>
            <w:r>
              <w:rPr>
                <w:webHidden/>
              </w:rPr>
              <w:fldChar w:fldCharType="end"/>
            </w:r>
          </w:hyperlink>
        </w:p>
        <w:p w14:paraId="2C7FF699" w14:textId="37A104AD"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8" w:history="1">
            <w:r w:rsidRPr="000E11B0">
              <w:rPr>
                <w:rStyle w:val="Hipervnculo"/>
              </w:rPr>
              <w:t>2.2. Sistemas de vigilancia genómica operativos</w:t>
            </w:r>
            <w:r>
              <w:rPr>
                <w:webHidden/>
              </w:rPr>
              <w:tab/>
            </w:r>
            <w:r>
              <w:rPr>
                <w:webHidden/>
              </w:rPr>
              <w:fldChar w:fldCharType="begin"/>
            </w:r>
            <w:r>
              <w:rPr>
                <w:webHidden/>
              </w:rPr>
              <w:instrText xml:space="preserve"> PAGEREF _Toc238464628 \h </w:instrText>
            </w:r>
            <w:r>
              <w:rPr>
                <w:webHidden/>
              </w:rPr>
            </w:r>
            <w:r>
              <w:rPr>
                <w:webHidden/>
              </w:rPr>
              <w:fldChar w:fldCharType="separate"/>
            </w:r>
            <w:r>
              <w:rPr>
                <w:webHidden/>
              </w:rPr>
              <w:t>12</w:t>
            </w:r>
            <w:r>
              <w:rPr>
                <w:webHidden/>
              </w:rPr>
              <w:fldChar w:fldCharType="end"/>
            </w:r>
          </w:hyperlink>
        </w:p>
        <w:p w14:paraId="4424196F" w14:textId="3FE5076F"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29" w:history="1">
            <w:r w:rsidRPr="000E11B0">
              <w:rPr>
                <w:rStyle w:val="Hipervnculo"/>
              </w:rPr>
              <w:t>2.3. Gradient boosting: fundamentos y precedentes en genómica</w:t>
            </w:r>
            <w:r>
              <w:rPr>
                <w:webHidden/>
              </w:rPr>
              <w:tab/>
            </w:r>
            <w:r>
              <w:rPr>
                <w:webHidden/>
              </w:rPr>
              <w:fldChar w:fldCharType="begin"/>
            </w:r>
            <w:r>
              <w:rPr>
                <w:webHidden/>
              </w:rPr>
              <w:instrText xml:space="preserve"> PAGEREF _Toc238464629 \h </w:instrText>
            </w:r>
            <w:r>
              <w:rPr>
                <w:webHidden/>
              </w:rPr>
            </w:r>
            <w:r>
              <w:rPr>
                <w:webHidden/>
              </w:rPr>
              <w:fldChar w:fldCharType="separate"/>
            </w:r>
            <w:r>
              <w:rPr>
                <w:webHidden/>
              </w:rPr>
              <w:t>12</w:t>
            </w:r>
            <w:r>
              <w:rPr>
                <w:webHidden/>
              </w:rPr>
              <w:fldChar w:fldCharType="end"/>
            </w:r>
          </w:hyperlink>
        </w:p>
        <w:p w14:paraId="37F08699" w14:textId="4DB618DF"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0" w:history="1">
            <w:r w:rsidRPr="000E11B0">
              <w:rPr>
                <w:rStyle w:val="Hipervnculo"/>
              </w:rPr>
              <w:t>2.4. Análisis de supervivencia: fundamentos y aplicaciones a la evolución de patógenos</w:t>
            </w:r>
            <w:r>
              <w:rPr>
                <w:webHidden/>
              </w:rPr>
              <w:tab/>
            </w:r>
            <w:r>
              <w:rPr>
                <w:webHidden/>
              </w:rPr>
              <w:fldChar w:fldCharType="begin"/>
            </w:r>
            <w:r>
              <w:rPr>
                <w:webHidden/>
              </w:rPr>
              <w:instrText xml:space="preserve"> PAGEREF _Toc238464630 \h </w:instrText>
            </w:r>
            <w:r>
              <w:rPr>
                <w:webHidden/>
              </w:rPr>
            </w:r>
            <w:r>
              <w:rPr>
                <w:webHidden/>
              </w:rPr>
              <w:fldChar w:fldCharType="separate"/>
            </w:r>
            <w:r>
              <w:rPr>
                <w:webHidden/>
              </w:rPr>
              <w:t>13</w:t>
            </w:r>
            <w:r>
              <w:rPr>
                <w:webHidden/>
              </w:rPr>
              <w:fldChar w:fldCharType="end"/>
            </w:r>
          </w:hyperlink>
        </w:p>
        <w:p w14:paraId="21687C2B" w14:textId="351E24DC"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1" w:history="1">
            <w:r w:rsidRPr="000E11B0">
              <w:rPr>
                <w:rStyle w:val="Hipervnculo"/>
              </w:rPr>
              <w:t>2.5. Haplotipos minoritarios y diversidad intrahospedador como anticipo de la evolución poblacional</w:t>
            </w:r>
            <w:r>
              <w:rPr>
                <w:webHidden/>
              </w:rPr>
              <w:tab/>
            </w:r>
            <w:r>
              <w:rPr>
                <w:webHidden/>
              </w:rPr>
              <w:fldChar w:fldCharType="begin"/>
            </w:r>
            <w:r>
              <w:rPr>
                <w:webHidden/>
              </w:rPr>
              <w:instrText xml:space="preserve"> PAGEREF _Toc238464631 \h </w:instrText>
            </w:r>
            <w:r>
              <w:rPr>
                <w:webHidden/>
              </w:rPr>
            </w:r>
            <w:r>
              <w:rPr>
                <w:webHidden/>
              </w:rPr>
              <w:fldChar w:fldCharType="separate"/>
            </w:r>
            <w:r>
              <w:rPr>
                <w:webHidden/>
              </w:rPr>
              <w:t>14</w:t>
            </w:r>
            <w:r>
              <w:rPr>
                <w:webHidden/>
              </w:rPr>
              <w:fldChar w:fldCharType="end"/>
            </w:r>
          </w:hyperlink>
        </w:p>
        <w:p w14:paraId="40703644" w14:textId="171C3226"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32" w:history="1">
            <w:r w:rsidRPr="000E11B0">
              <w:rPr>
                <w:rStyle w:val="Hipervnculo"/>
              </w:rPr>
              <w:t>3. Marco teórico biológico</w:t>
            </w:r>
            <w:r>
              <w:rPr>
                <w:webHidden/>
              </w:rPr>
              <w:tab/>
            </w:r>
            <w:r>
              <w:rPr>
                <w:webHidden/>
              </w:rPr>
              <w:fldChar w:fldCharType="begin"/>
            </w:r>
            <w:r>
              <w:rPr>
                <w:webHidden/>
              </w:rPr>
              <w:instrText xml:space="preserve"> PAGEREF _Toc238464632 \h </w:instrText>
            </w:r>
            <w:r>
              <w:rPr>
                <w:webHidden/>
              </w:rPr>
            </w:r>
            <w:r>
              <w:rPr>
                <w:webHidden/>
              </w:rPr>
              <w:fldChar w:fldCharType="separate"/>
            </w:r>
            <w:r>
              <w:rPr>
                <w:webHidden/>
              </w:rPr>
              <w:t>16</w:t>
            </w:r>
            <w:r>
              <w:rPr>
                <w:webHidden/>
              </w:rPr>
              <w:fldChar w:fldCharType="end"/>
            </w:r>
          </w:hyperlink>
        </w:p>
        <w:p w14:paraId="2BDEB4D5" w14:textId="6E983CEC"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3" w:history="1">
            <w:r w:rsidRPr="000E11B0">
              <w:rPr>
                <w:rStyle w:val="Hipervnculo"/>
              </w:rPr>
              <w:t>3.1. SARS-CoV-2: estructura y evolución</w:t>
            </w:r>
            <w:r>
              <w:rPr>
                <w:webHidden/>
              </w:rPr>
              <w:tab/>
            </w:r>
            <w:r>
              <w:rPr>
                <w:webHidden/>
              </w:rPr>
              <w:fldChar w:fldCharType="begin"/>
            </w:r>
            <w:r>
              <w:rPr>
                <w:webHidden/>
              </w:rPr>
              <w:instrText xml:space="preserve"> PAGEREF _Toc238464633 \h </w:instrText>
            </w:r>
            <w:r>
              <w:rPr>
                <w:webHidden/>
              </w:rPr>
            </w:r>
            <w:r>
              <w:rPr>
                <w:webHidden/>
              </w:rPr>
              <w:fldChar w:fldCharType="separate"/>
            </w:r>
            <w:r>
              <w:rPr>
                <w:webHidden/>
              </w:rPr>
              <w:t>16</w:t>
            </w:r>
            <w:r>
              <w:rPr>
                <w:webHidden/>
              </w:rPr>
              <w:fldChar w:fldCharType="end"/>
            </w:r>
          </w:hyperlink>
        </w:p>
        <w:p w14:paraId="19CC18F6" w14:textId="25A621E8"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4" w:history="1">
            <w:r w:rsidRPr="000E11B0">
              <w:rPr>
                <w:rStyle w:val="Hipervnculo"/>
              </w:rPr>
              <w:t>3.2. Nomenclatura Pango y clasificación de variantes</w:t>
            </w:r>
            <w:r>
              <w:rPr>
                <w:webHidden/>
              </w:rPr>
              <w:tab/>
            </w:r>
            <w:r>
              <w:rPr>
                <w:webHidden/>
              </w:rPr>
              <w:fldChar w:fldCharType="begin"/>
            </w:r>
            <w:r>
              <w:rPr>
                <w:webHidden/>
              </w:rPr>
              <w:instrText xml:space="preserve"> PAGEREF _Toc238464634 \h </w:instrText>
            </w:r>
            <w:r>
              <w:rPr>
                <w:webHidden/>
              </w:rPr>
            </w:r>
            <w:r>
              <w:rPr>
                <w:webHidden/>
              </w:rPr>
              <w:fldChar w:fldCharType="separate"/>
            </w:r>
            <w:r>
              <w:rPr>
                <w:webHidden/>
              </w:rPr>
              <w:t>17</w:t>
            </w:r>
            <w:r>
              <w:rPr>
                <w:webHidden/>
              </w:rPr>
              <w:fldChar w:fldCharType="end"/>
            </w:r>
          </w:hyperlink>
        </w:p>
        <w:p w14:paraId="45E65714" w14:textId="5F8AFDDB"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5" w:history="1">
            <w:r w:rsidRPr="000E11B0">
              <w:rPr>
                <w:rStyle w:val="Hipervnculo"/>
              </w:rPr>
              <w:t>3.3. Épocas pandémicas</w:t>
            </w:r>
            <w:r>
              <w:rPr>
                <w:webHidden/>
              </w:rPr>
              <w:tab/>
            </w:r>
            <w:r>
              <w:rPr>
                <w:webHidden/>
              </w:rPr>
              <w:fldChar w:fldCharType="begin"/>
            </w:r>
            <w:r>
              <w:rPr>
                <w:webHidden/>
              </w:rPr>
              <w:instrText xml:space="preserve"> PAGEREF _Toc238464635 \h </w:instrText>
            </w:r>
            <w:r>
              <w:rPr>
                <w:webHidden/>
              </w:rPr>
            </w:r>
            <w:r>
              <w:rPr>
                <w:webHidden/>
              </w:rPr>
              <w:fldChar w:fldCharType="separate"/>
            </w:r>
            <w:r>
              <w:rPr>
                <w:webHidden/>
              </w:rPr>
              <w:t>18</w:t>
            </w:r>
            <w:r>
              <w:rPr>
                <w:webHidden/>
              </w:rPr>
              <w:fldChar w:fldCharType="end"/>
            </w:r>
          </w:hyperlink>
        </w:p>
        <w:p w14:paraId="30A77F92" w14:textId="2AF56591"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6" w:history="1">
            <w:r w:rsidRPr="000E11B0">
              <w:rPr>
                <w:rStyle w:val="Hipervnculo"/>
              </w:rPr>
              <w:t>3.4. Mecanismos de escape inmune y mutaciones clave</w:t>
            </w:r>
            <w:r>
              <w:rPr>
                <w:webHidden/>
              </w:rPr>
              <w:tab/>
            </w:r>
            <w:r>
              <w:rPr>
                <w:webHidden/>
              </w:rPr>
              <w:fldChar w:fldCharType="begin"/>
            </w:r>
            <w:r>
              <w:rPr>
                <w:webHidden/>
              </w:rPr>
              <w:instrText xml:space="preserve"> PAGEREF _Toc238464636 \h </w:instrText>
            </w:r>
            <w:r>
              <w:rPr>
                <w:webHidden/>
              </w:rPr>
            </w:r>
            <w:r>
              <w:rPr>
                <w:webHidden/>
              </w:rPr>
              <w:fldChar w:fldCharType="separate"/>
            </w:r>
            <w:r>
              <w:rPr>
                <w:webHidden/>
              </w:rPr>
              <w:t>19</w:t>
            </w:r>
            <w:r>
              <w:rPr>
                <w:webHidden/>
              </w:rPr>
              <w:fldChar w:fldCharType="end"/>
            </w:r>
          </w:hyperlink>
        </w:p>
        <w:p w14:paraId="24D5CDB2" w14:textId="57114B37"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37" w:history="1">
            <w:r w:rsidRPr="000E11B0">
              <w:rPr>
                <w:rStyle w:val="Hipervnculo"/>
              </w:rPr>
              <w:t>4. Fundamentos metodológicos</w:t>
            </w:r>
            <w:r>
              <w:rPr>
                <w:webHidden/>
              </w:rPr>
              <w:tab/>
            </w:r>
            <w:r>
              <w:rPr>
                <w:webHidden/>
              </w:rPr>
              <w:fldChar w:fldCharType="begin"/>
            </w:r>
            <w:r>
              <w:rPr>
                <w:webHidden/>
              </w:rPr>
              <w:instrText xml:space="preserve"> PAGEREF _Toc238464637 \h </w:instrText>
            </w:r>
            <w:r>
              <w:rPr>
                <w:webHidden/>
              </w:rPr>
            </w:r>
            <w:r>
              <w:rPr>
                <w:webHidden/>
              </w:rPr>
              <w:fldChar w:fldCharType="separate"/>
            </w:r>
            <w:r>
              <w:rPr>
                <w:webHidden/>
              </w:rPr>
              <w:t>21</w:t>
            </w:r>
            <w:r>
              <w:rPr>
                <w:webHidden/>
              </w:rPr>
              <w:fldChar w:fldCharType="end"/>
            </w:r>
          </w:hyperlink>
        </w:p>
        <w:p w14:paraId="3940EE58" w14:textId="2988C415"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8" w:history="1">
            <w:r w:rsidRPr="000E11B0">
              <w:rPr>
                <w:rStyle w:val="Hipervnculo"/>
              </w:rPr>
              <w:t>4.1. El problema de predicción como clasificación binaria</w:t>
            </w:r>
            <w:r>
              <w:rPr>
                <w:webHidden/>
              </w:rPr>
              <w:tab/>
            </w:r>
            <w:r>
              <w:rPr>
                <w:webHidden/>
              </w:rPr>
              <w:fldChar w:fldCharType="begin"/>
            </w:r>
            <w:r>
              <w:rPr>
                <w:webHidden/>
              </w:rPr>
              <w:instrText xml:space="preserve"> PAGEREF _Toc238464638 \h </w:instrText>
            </w:r>
            <w:r>
              <w:rPr>
                <w:webHidden/>
              </w:rPr>
            </w:r>
            <w:r>
              <w:rPr>
                <w:webHidden/>
              </w:rPr>
              <w:fldChar w:fldCharType="separate"/>
            </w:r>
            <w:r>
              <w:rPr>
                <w:webHidden/>
              </w:rPr>
              <w:t>21</w:t>
            </w:r>
            <w:r>
              <w:rPr>
                <w:webHidden/>
              </w:rPr>
              <w:fldChar w:fldCharType="end"/>
            </w:r>
          </w:hyperlink>
        </w:p>
        <w:p w14:paraId="0B048728" w14:textId="1F8563C9"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39" w:history="1">
            <w:r w:rsidRPr="000E11B0">
              <w:rPr>
                <w:rStyle w:val="Hipervnculo"/>
              </w:rPr>
              <w:t>4.2. Configuración de LightGBM en este trabajo</w:t>
            </w:r>
            <w:r>
              <w:rPr>
                <w:webHidden/>
              </w:rPr>
              <w:tab/>
            </w:r>
            <w:r>
              <w:rPr>
                <w:webHidden/>
              </w:rPr>
              <w:fldChar w:fldCharType="begin"/>
            </w:r>
            <w:r>
              <w:rPr>
                <w:webHidden/>
              </w:rPr>
              <w:instrText xml:space="preserve"> PAGEREF _Toc238464639 \h </w:instrText>
            </w:r>
            <w:r>
              <w:rPr>
                <w:webHidden/>
              </w:rPr>
            </w:r>
            <w:r>
              <w:rPr>
                <w:webHidden/>
              </w:rPr>
              <w:fldChar w:fldCharType="separate"/>
            </w:r>
            <w:r>
              <w:rPr>
                <w:webHidden/>
              </w:rPr>
              <w:t>22</w:t>
            </w:r>
            <w:r>
              <w:rPr>
                <w:webHidden/>
              </w:rPr>
              <w:fldChar w:fldCharType="end"/>
            </w:r>
          </w:hyperlink>
        </w:p>
        <w:p w14:paraId="47C1AD32" w14:textId="70BF245A"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0" w:history="1">
            <w:r w:rsidRPr="000E11B0">
              <w:rPr>
                <w:rStyle w:val="Hipervnculo"/>
              </w:rPr>
              <w:t>4.3. Filtraciones de datos en series temporales: identificación y corrección</w:t>
            </w:r>
            <w:r>
              <w:rPr>
                <w:webHidden/>
              </w:rPr>
              <w:tab/>
            </w:r>
            <w:r>
              <w:rPr>
                <w:webHidden/>
              </w:rPr>
              <w:fldChar w:fldCharType="begin"/>
            </w:r>
            <w:r>
              <w:rPr>
                <w:webHidden/>
              </w:rPr>
              <w:instrText xml:space="preserve"> PAGEREF _Toc238464640 \h </w:instrText>
            </w:r>
            <w:r>
              <w:rPr>
                <w:webHidden/>
              </w:rPr>
            </w:r>
            <w:r>
              <w:rPr>
                <w:webHidden/>
              </w:rPr>
              <w:fldChar w:fldCharType="separate"/>
            </w:r>
            <w:r>
              <w:rPr>
                <w:webHidden/>
              </w:rPr>
              <w:t>23</w:t>
            </w:r>
            <w:r>
              <w:rPr>
                <w:webHidden/>
              </w:rPr>
              <w:fldChar w:fldCharType="end"/>
            </w:r>
          </w:hyperlink>
        </w:p>
        <w:p w14:paraId="6C1E42AF" w14:textId="5E9BFECE"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1" w:history="1">
            <w:r w:rsidRPr="000E11B0">
              <w:rPr>
                <w:rStyle w:val="Hipervnculo"/>
              </w:rPr>
              <w:t>4.4. Validación progresiva en series temporales por épocas pandémicas</w:t>
            </w:r>
            <w:r>
              <w:rPr>
                <w:webHidden/>
              </w:rPr>
              <w:tab/>
            </w:r>
            <w:r>
              <w:rPr>
                <w:webHidden/>
              </w:rPr>
              <w:fldChar w:fldCharType="begin"/>
            </w:r>
            <w:r>
              <w:rPr>
                <w:webHidden/>
              </w:rPr>
              <w:instrText xml:space="preserve"> PAGEREF _Toc238464641 \h </w:instrText>
            </w:r>
            <w:r>
              <w:rPr>
                <w:webHidden/>
              </w:rPr>
            </w:r>
            <w:r>
              <w:rPr>
                <w:webHidden/>
              </w:rPr>
              <w:fldChar w:fldCharType="separate"/>
            </w:r>
            <w:r>
              <w:rPr>
                <w:webHidden/>
              </w:rPr>
              <w:t>23</w:t>
            </w:r>
            <w:r>
              <w:rPr>
                <w:webHidden/>
              </w:rPr>
              <w:fldChar w:fldCharType="end"/>
            </w:r>
          </w:hyperlink>
        </w:p>
        <w:p w14:paraId="5FF12683" w14:textId="6E362F0D"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42" w:history="1">
            <w:r w:rsidRPr="000E11B0">
              <w:rPr>
                <w:rStyle w:val="Hipervnculo"/>
              </w:rPr>
              <w:t>4.4.1. Comparación empírica con otros algoritmos: ¿por qué LightGBM?</w:t>
            </w:r>
            <w:r>
              <w:rPr>
                <w:webHidden/>
              </w:rPr>
              <w:tab/>
            </w:r>
            <w:r>
              <w:rPr>
                <w:webHidden/>
              </w:rPr>
              <w:fldChar w:fldCharType="begin"/>
            </w:r>
            <w:r>
              <w:rPr>
                <w:webHidden/>
              </w:rPr>
              <w:instrText xml:space="preserve"> PAGEREF _Toc238464642 \h </w:instrText>
            </w:r>
            <w:r>
              <w:rPr>
                <w:webHidden/>
              </w:rPr>
            </w:r>
            <w:r>
              <w:rPr>
                <w:webHidden/>
              </w:rPr>
              <w:fldChar w:fldCharType="separate"/>
            </w:r>
            <w:r>
              <w:rPr>
                <w:webHidden/>
              </w:rPr>
              <w:t>24</w:t>
            </w:r>
            <w:r>
              <w:rPr>
                <w:webHidden/>
              </w:rPr>
              <w:fldChar w:fldCharType="end"/>
            </w:r>
          </w:hyperlink>
        </w:p>
        <w:p w14:paraId="415F6201" w14:textId="3CEE5EB7"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3" w:history="1">
            <w:r w:rsidRPr="000E11B0">
              <w:rPr>
                <w:rStyle w:val="Hipervnculo"/>
              </w:rPr>
              <w:t>4.5. Configuración del análisis de supervivencia en este trabajo</w:t>
            </w:r>
            <w:r>
              <w:rPr>
                <w:webHidden/>
              </w:rPr>
              <w:tab/>
            </w:r>
            <w:r>
              <w:rPr>
                <w:webHidden/>
              </w:rPr>
              <w:fldChar w:fldCharType="begin"/>
            </w:r>
            <w:r>
              <w:rPr>
                <w:webHidden/>
              </w:rPr>
              <w:instrText xml:space="preserve"> PAGEREF _Toc238464643 \h </w:instrText>
            </w:r>
            <w:r>
              <w:rPr>
                <w:webHidden/>
              </w:rPr>
            </w:r>
            <w:r>
              <w:rPr>
                <w:webHidden/>
              </w:rPr>
              <w:fldChar w:fldCharType="separate"/>
            </w:r>
            <w:r>
              <w:rPr>
                <w:webHidden/>
              </w:rPr>
              <w:t>26</w:t>
            </w:r>
            <w:r>
              <w:rPr>
                <w:webHidden/>
              </w:rPr>
              <w:fldChar w:fldCharType="end"/>
            </w:r>
          </w:hyperlink>
        </w:p>
        <w:p w14:paraId="033FA838" w14:textId="653C9386"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44" w:history="1">
            <w:r w:rsidRPr="000E11B0">
              <w:rPr>
                <w:rStyle w:val="Hipervnculo"/>
              </w:rPr>
              <w:t>5. Datos</w:t>
            </w:r>
            <w:r>
              <w:rPr>
                <w:webHidden/>
              </w:rPr>
              <w:tab/>
            </w:r>
            <w:r>
              <w:rPr>
                <w:webHidden/>
              </w:rPr>
              <w:fldChar w:fldCharType="begin"/>
            </w:r>
            <w:r>
              <w:rPr>
                <w:webHidden/>
              </w:rPr>
              <w:instrText xml:space="preserve"> PAGEREF _Toc238464644 \h </w:instrText>
            </w:r>
            <w:r>
              <w:rPr>
                <w:webHidden/>
              </w:rPr>
            </w:r>
            <w:r>
              <w:rPr>
                <w:webHidden/>
              </w:rPr>
              <w:fldChar w:fldCharType="separate"/>
            </w:r>
            <w:r>
              <w:rPr>
                <w:webHidden/>
              </w:rPr>
              <w:t>28</w:t>
            </w:r>
            <w:r>
              <w:rPr>
                <w:webHidden/>
              </w:rPr>
              <w:fldChar w:fldCharType="end"/>
            </w:r>
          </w:hyperlink>
        </w:p>
        <w:p w14:paraId="3C251661" w14:textId="3D396D34"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5" w:history="1">
            <w:r w:rsidRPr="000E11B0">
              <w:rPr>
                <w:rStyle w:val="Hipervnculo"/>
              </w:rPr>
              <w:t>5.1. GISAID: repositorio global de secuencias</w:t>
            </w:r>
            <w:r>
              <w:rPr>
                <w:webHidden/>
              </w:rPr>
              <w:tab/>
            </w:r>
            <w:r>
              <w:rPr>
                <w:webHidden/>
              </w:rPr>
              <w:fldChar w:fldCharType="begin"/>
            </w:r>
            <w:r>
              <w:rPr>
                <w:webHidden/>
              </w:rPr>
              <w:instrText xml:space="preserve"> PAGEREF _Toc238464645 \h </w:instrText>
            </w:r>
            <w:r>
              <w:rPr>
                <w:webHidden/>
              </w:rPr>
            </w:r>
            <w:r>
              <w:rPr>
                <w:webHidden/>
              </w:rPr>
              <w:fldChar w:fldCharType="separate"/>
            </w:r>
            <w:r>
              <w:rPr>
                <w:webHidden/>
              </w:rPr>
              <w:t>28</w:t>
            </w:r>
            <w:r>
              <w:rPr>
                <w:webHidden/>
              </w:rPr>
              <w:fldChar w:fldCharType="end"/>
            </w:r>
          </w:hyperlink>
        </w:p>
        <w:p w14:paraId="75D85D41" w14:textId="49FDBE39"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6" w:history="1">
            <w:r w:rsidRPr="000E11B0">
              <w:rPr>
                <w:rStyle w:val="Hipervnculo"/>
              </w:rPr>
              <w:t>5.2. Cadena de procesamiento de datos en flujo continuo</w:t>
            </w:r>
            <w:r>
              <w:rPr>
                <w:webHidden/>
              </w:rPr>
              <w:tab/>
            </w:r>
            <w:r>
              <w:rPr>
                <w:webHidden/>
              </w:rPr>
              <w:fldChar w:fldCharType="begin"/>
            </w:r>
            <w:r>
              <w:rPr>
                <w:webHidden/>
              </w:rPr>
              <w:instrText xml:space="preserve"> PAGEREF _Toc238464646 \h </w:instrText>
            </w:r>
            <w:r>
              <w:rPr>
                <w:webHidden/>
              </w:rPr>
            </w:r>
            <w:r>
              <w:rPr>
                <w:webHidden/>
              </w:rPr>
              <w:fldChar w:fldCharType="separate"/>
            </w:r>
            <w:r>
              <w:rPr>
                <w:webHidden/>
              </w:rPr>
              <w:t>28</w:t>
            </w:r>
            <w:r>
              <w:rPr>
                <w:webHidden/>
              </w:rPr>
              <w:fldChar w:fldCharType="end"/>
            </w:r>
          </w:hyperlink>
        </w:p>
        <w:p w14:paraId="087E8B8A" w14:textId="4BE0C9D2"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7" w:history="1">
            <w:r w:rsidRPr="000E11B0">
              <w:rPr>
                <w:rStyle w:val="Hipervnculo"/>
              </w:rPr>
              <w:t>5.3. Descripción del conjunto de datos final</w:t>
            </w:r>
            <w:r>
              <w:rPr>
                <w:webHidden/>
              </w:rPr>
              <w:tab/>
            </w:r>
            <w:r>
              <w:rPr>
                <w:webHidden/>
              </w:rPr>
              <w:fldChar w:fldCharType="begin"/>
            </w:r>
            <w:r>
              <w:rPr>
                <w:webHidden/>
              </w:rPr>
              <w:instrText xml:space="preserve"> PAGEREF _Toc238464647 \h </w:instrText>
            </w:r>
            <w:r>
              <w:rPr>
                <w:webHidden/>
              </w:rPr>
            </w:r>
            <w:r>
              <w:rPr>
                <w:webHidden/>
              </w:rPr>
              <w:fldChar w:fldCharType="separate"/>
            </w:r>
            <w:r>
              <w:rPr>
                <w:webHidden/>
              </w:rPr>
              <w:t>28</w:t>
            </w:r>
            <w:r>
              <w:rPr>
                <w:webHidden/>
              </w:rPr>
              <w:fldChar w:fldCharType="end"/>
            </w:r>
          </w:hyperlink>
        </w:p>
        <w:p w14:paraId="79BBE999" w14:textId="0B3D958E"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48" w:history="1">
            <w:r w:rsidRPr="000E11B0">
              <w:rPr>
                <w:rStyle w:val="Hipervnculo"/>
              </w:rPr>
              <w:t>6. Ingeniería de características</w:t>
            </w:r>
            <w:r>
              <w:rPr>
                <w:webHidden/>
              </w:rPr>
              <w:tab/>
            </w:r>
            <w:r>
              <w:rPr>
                <w:webHidden/>
              </w:rPr>
              <w:fldChar w:fldCharType="begin"/>
            </w:r>
            <w:r>
              <w:rPr>
                <w:webHidden/>
              </w:rPr>
              <w:instrText xml:space="preserve"> PAGEREF _Toc238464648 \h </w:instrText>
            </w:r>
            <w:r>
              <w:rPr>
                <w:webHidden/>
              </w:rPr>
            </w:r>
            <w:r>
              <w:rPr>
                <w:webHidden/>
              </w:rPr>
              <w:fldChar w:fldCharType="separate"/>
            </w:r>
            <w:r>
              <w:rPr>
                <w:webHidden/>
              </w:rPr>
              <w:t>31</w:t>
            </w:r>
            <w:r>
              <w:rPr>
                <w:webHidden/>
              </w:rPr>
              <w:fldChar w:fldCharType="end"/>
            </w:r>
          </w:hyperlink>
        </w:p>
        <w:p w14:paraId="38FD82D3" w14:textId="7707435A"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49" w:history="1">
            <w:r w:rsidRPr="000E11B0">
              <w:rPr>
                <w:rStyle w:val="Hipervnculo"/>
              </w:rPr>
              <w:t>6.1. Características temporales (15 variables)</w:t>
            </w:r>
            <w:r>
              <w:rPr>
                <w:webHidden/>
              </w:rPr>
              <w:tab/>
            </w:r>
            <w:r>
              <w:rPr>
                <w:webHidden/>
              </w:rPr>
              <w:fldChar w:fldCharType="begin"/>
            </w:r>
            <w:r>
              <w:rPr>
                <w:webHidden/>
              </w:rPr>
              <w:instrText xml:space="preserve"> PAGEREF _Toc238464649 \h </w:instrText>
            </w:r>
            <w:r>
              <w:rPr>
                <w:webHidden/>
              </w:rPr>
            </w:r>
            <w:r>
              <w:rPr>
                <w:webHidden/>
              </w:rPr>
              <w:fldChar w:fldCharType="separate"/>
            </w:r>
            <w:r>
              <w:rPr>
                <w:webHidden/>
              </w:rPr>
              <w:t>31</w:t>
            </w:r>
            <w:r>
              <w:rPr>
                <w:webHidden/>
              </w:rPr>
              <w:fldChar w:fldCharType="end"/>
            </w:r>
          </w:hyperlink>
        </w:p>
        <w:p w14:paraId="7090B663" w14:textId="2FB19844"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50" w:history="1">
            <w:r w:rsidRPr="000E11B0">
              <w:rPr>
                <w:rStyle w:val="Hipervnculo"/>
              </w:rPr>
              <w:t>6.2. Características biológicas (6 variables)</w:t>
            </w:r>
            <w:r>
              <w:rPr>
                <w:webHidden/>
              </w:rPr>
              <w:tab/>
            </w:r>
            <w:r>
              <w:rPr>
                <w:webHidden/>
              </w:rPr>
              <w:fldChar w:fldCharType="begin"/>
            </w:r>
            <w:r>
              <w:rPr>
                <w:webHidden/>
              </w:rPr>
              <w:instrText xml:space="preserve"> PAGEREF _Toc238464650 \h </w:instrText>
            </w:r>
            <w:r>
              <w:rPr>
                <w:webHidden/>
              </w:rPr>
            </w:r>
            <w:r>
              <w:rPr>
                <w:webHidden/>
              </w:rPr>
              <w:fldChar w:fldCharType="separate"/>
            </w:r>
            <w:r>
              <w:rPr>
                <w:webHidden/>
              </w:rPr>
              <w:t>31</w:t>
            </w:r>
            <w:r>
              <w:rPr>
                <w:webHidden/>
              </w:rPr>
              <w:fldChar w:fldCharType="end"/>
            </w:r>
          </w:hyperlink>
        </w:p>
        <w:p w14:paraId="7AB1D6B8" w14:textId="551AA660"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51" w:history="1">
            <w:r w:rsidRPr="000E11B0">
              <w:rPr>
                <w:rStyle w:val="Hipervnculo"/>
              </w:rPr>
              <w:t>6.3. Características mutacionales Spike+NSP12 (30 variables)</w:t>
            </w:r>
            <w:r>
              <w:rPr>
                <w:webHidden/>
              </w:rPr>
              <w:tab/>
            </w:r>
            <w:r>
              <w:rPr>
                <w:webHidden/>
              </w:rPr>
              <w:fldChar w:fldCharType="begin"/>
            </w:r>
            <w:r>
              <w:rPr>
                <w:webHidden/>
              </w:rPr>
              <w:instrText xml:space="preserve"> PAGEREF _Toc238464651 \h </w:instrText>
            </w:r>
            <w:r>
              <w:rPr>
                <w:webHidden/>
              </w:rPr>
            </w:r>
            <w:r>
              <w:rPr>
                <w:webHidden/>
              </w:rPr>
              <w:fldChar w:fldCharType="separate"/>
            </w:r>
            <w:r>
              <w:rPr>
                <w:webHidden/>
              </w:rPr>
              <w:t>31</w:t>
            </w:r>
            <w:r>
              <w:rPr>
                <w:webHidden/>
              </w:rPr>
              <w:fldChar w:fldCharType="end"/>
            </w:r>
          </w:hyperlink>
        </w:p>
        <w:p w14:paraId="13873A45" w14:textId="58441695"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52" w:history="1">
            <w:r w:rsidRPr="000E11B0">
              <w:rPr>
                <w:rStyle w:val="Hipervnculo"/>
              </w:rPr>
              <w:t>6.4. Características para el modelo de mutaciones M3-SPNSP (16 variables)</w:t>
            </w:r>
            <w:r>
              <w:rPr>
                <w:webHidden/>
              </w:rPr>
              <w:tab/>
            </w:r>
            <w:r>
              <w:rPr>
                <w:webHidden/>
              </w:rPr>
              <w:fldChar w:fldCharType="begin"/>
            </w:r>
            <w:r>
              <w:rPr>
                <w:webHidden/>
              </w:rPr>
              <w:instrText xml:space="preserve"> PAGEREF _Toc238464652 \h </w:instrText>
            </w:r>
            <w:r>
              <w:rPr>
                <w:webHidden/>
              </w:rPr>
            </w:r>
            <w:r>
              <w:rPr>
                <w:webHidden/>
              </w:rPr>
              <w:fldChar w:fldCharType="separate"/>
            </w:r>
            <w:r>
              <w:rPr>
                <w:webHidden/>
              </w:rPr>
              <w:t>32</w:t>
            </w:r>
            <w:r>
              <w:rPr>
                <w:webHidden/>
              </w:rPr>
              <w:fldChar w:fldCharType="end"/>
            </w:r>
          </w:hyperlink>
        </w:p>
        <w:p w14:paraId="45D3326C" w14:textId="2B94182E"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53" w:history="1">
            <w:r w:rsidRPr="000E11B0">
              <w:rPr>
                <w:rStyle w:val="Hipervnculo"/>
              </w:rPr>
              <w:t>6.5. Variable objetivo y desbalanceo de clases</w:t>
            </w:r>
            <w:r>
              <w:rPr>
                <w:webHidden/>
              </w:rPr>
              <w:tab/>
            </w:r>
            <w:r>
              <w:rPr>
                <w:webHidden/>
              </w:rPr>
              <w:fldChar w:fldCharType="begin"/>
            </w:r>
            <w:r>
              <w:rPr>
                <w:webHidden/>
              </w:rPr>
              <w:instrText xml:space="preserve"> PAGEREF _Toc238464653 \h </w:instrText>
            </w:r>
            <w:r>
              <w:rPr>
                <w:webHidden/>
              </w:rPr>
            </w:r>
            <w:r>
              <w:rPr>
                <w:webHidden/>
              </w:rPr>
              <w:fldChar w:fldCharType="separate"/>
            </w:r>
            <w:r>
              <w:rPr>
                <w:webHidden/>
              </w:rPr>
              <w:t>34</w:t>
            </w:r>
            <w:r>
              <w:rPr>
                <w:webHidden/>
              </w:rPr>
              <w:fldChar w:fldCharType="end"/>
            </w:r>
          </w:hyperlink>
        </w:p>
        <w:p w14:paraId="52422C67" w14:textId="53951B80"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54" w:history="1">
            <w:r w:rsidRPr="000E11B0">
              <w:rPr>
                <w:rStyle w:val="Hipervnculo"/>
              </w:rPr>
              <w:t>7. Resultados</w:t>
            </w:r>
            <w:r>
              <w:rPr>
                <w:webHidden/>
              </w:rPr>
              <w:tab/>
            </w:r>
            <w:r>
              <w:rPr>
                <w:webHidden/>
              </w:rPr>
              <w:fldChar w:fldCharType="begin"/>
            </w:r>
            <w:r>
              <w:rPr>
                <w:webHidden/>
              </w:rPr>
              <w:instrText xml:space="preserve"> PAGEREF _Toc238464654 \h </w:instrText>
            </w:r>
            <w:r>
              <w:rPr>
                <w:webHidden/>
              </w:rPr>
            </w:r>
            <w:r>
              <w:rPr>
                <w:webHidden/>
              </w:rPr>
              <w:fldChar w:fldCharType="separate"/>
            </w:r>
            <w:r>
              <w:rPr>
                <w:webHidden/>
              </w:rPr>
              <w:t>35</w:t>
            </w:r>
            <w:r>
              <w:rPr>
                <w:webHidden/>
              </w:rPr>
              <w:fldChar w:fldCharType="end"/>
            </w:r>
          </w:hyperlink>
        </w:p>
        <w:p w14:paraId="4FAE5D15" w14:textId="0FC303BB"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55" w:history="1">
            <w:r w:rsidRPr="000E11B0">
              <w:rPr>
                <w:rStyle w:val="Hipervnculo"/>
              </w:rPr>
              <w:t>7.1. Análisis exploratorio de datos (Módulo 2)</w:t>
            </w:r>
            <w:r>
              <w:rPr>
                <w:webHidden/>
              </w:rPr>
              <w:tab/>
            </w:r>
            <w:r>
              <w:rPr>
                <w:webHidden/>
              </w:rPr>
              <w:fldChar w:fldCharType="begin"/>
            </w:r>
            <w:r>
              <w:rPr>
                <w:webHidden/>
              </w:rPr>
              <w:instrText xml:space="preserve"> PAGEREF _Toc238464655 \h </w:instrText>
            </w:r>
            <w:r>
              <w:rPr>
                <w:webHidden/>
              </w:rPr>
            </w:r>
            <w:r>
              <w:rPr>
                <w:webHidden/>
              </w:rPr>
              <w:fldChar w:fldCharType="separate"/>
            </w:r>
            <w:r>
              <w:rPr>
                <w:webHidden/>
              </w:rPr>
              <w:t>35</w:t>
            </w:r>
            <w:r>
              <w:rPr>
                <w:webHidden/>
              </w:rPr>
              <w:fldChar w:fldCharType="end"/>
            </w:r>
          </w:hyperlink>
        </w:p>
        <w:p w14:paraId="6F35DD85" w14:textId="1B9DD337"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56" w:history="1">
            <w:r w:rsidRPr="000E11B0">
              <w:rPr>
                <w:rStyle w:val="Hipervnculo"/>
              </w:rPr>
              <w:t>7.1.1. Firma mutacional y test de selección (Módulo 2.8)</w:t>
            </w:r>
            <w:r>
              <w:rPr>
                <w:webHidden/>
              </w:rPr>
              <w:tab/>
            </w:r>
            <w:r>
              <w:rPr>
                <w:webHidden/>
              </w:rPr>
              <w:fldChar w:fldCharType="begin"/>
            </w:r>
            <w:r>
              <w:rPr>
                <w:webHidden/>
              </w:rPr>
              <w:instrText xml:space="preserve"> PAGEREF _Toc238464656 \h </w:instrText>
            </w:r>
            <w:r>
              <w:rPr>
                <w:webHidden/>
              </w:rPr>
            </w:r>
            <w:r>
              <w:rPr>
                <w:webHidden/>
              </w:rPr>
              <w:fldChar w:fldCharType="separate"/>
            </w:r>
            <w:r>
              <w:rPr>
                <w:webHidden/>
              </w:rPr>
              <w:t>35</w:t>
            </w:r>
            <w:r>
              <w:rPr>
                <w:webHidden/>
              </w:rPr>
              <w:fldChar w:fldCharType="end"/>
            </w:r>
          </w:hyperlink>
        </w:p>
        <w:p w14:paraId="008030EE" w14:textId="2F3A0647"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57" w:history="1">
            <w:r w:rsidRPr="000E11B0">
              <w:rPr>
                <w:rStyle w:val="Hipervnculo"/>
              </w:rPr>
              <w:t>7.1.2. Correlación de trayectorias y clasificación de coocurrencia (Módulo 2.9)</w:t>
            </w:r>
            <w:r>
              <w:rPr>
                <w:webHidden/>
              </w:rPr>
              <w:tab/>
            </w:r>
            <w:r>
              <w:rPr>
                <w:webHidden/>
              </w:rPr>
              <w:fldChar w:fldCharType="begin"/>
            </w:r>
            <w:r>
              <w:rPr>
                <w:webHidden/>
              </w:rPr>
              <w:instrText xml:space="preserve"> PAGEREF _Toc238464657 \h </w:instrText>
            </w:r>
            <w:r>
              <w:rPr>
                <w:webHidden/>
              </w:rPr>
            </w:r>
            <w:r>
              <w:rPr>
                <w:webHidden/>
              </w:rPr>
              <w:fldChar w:fldCharType="separate"/>
            </w:r>
            <w:r>
              <w:rPr>
                <w:webHidden/>
              </w:rPr>
              <w:t>37</w:t>
            </w:r>
            <w:r>
              <w:rPr>
                <w:webHidden/>
              </w:rPr>
              <w:fldChar w:fldCharType="end"/>
            </w:r>
          </w:hyperlink>
        </w:p>
        <w:p w14:paraId="50E1C671" w14:textId="54D3708A"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58" w:history="1">
            <w:r w:rsidRPr="000E11B0">
              <w:rPr>
                <w:rStyle w:val="Hipervnculo"/>
              </w:rPr>
              <w:t>7.2. Modelos de predicción a corto plazo: LightGBM (Módulo 4)</w:t>
            </w:r>
            <w:r>
              <w:rPr>
                <w:webHidden/>
              </w:rPr>
              <w:tab/>
            </w:r>
            <w:r>
              <w:rPr>
                <w:webHidden/>
              </w:rPr>
              <w:fldChar w:fldCharType="begin"/>
            </w:r>
            <w:r>
              <w:rPr>
                <w:webHidden/>
              </w:rPr>
              <w:instrText xml:space="preserve"> PAGEREF _Toc238464658 \h </w:instrText>
            </w:r>
            <w:r>
              <w:rPr>
                <w:webHidden/>
              </w:rPr>
            </w:r>
            <w:r>
              <w:rPr>
                <w:webHidden/>
              </w:rPr>
              <w:fldChar w:fldCharType="separate"/>
            </w:r>
            <w:r>
              <w:rPr>
                <w:webHidden/>
              </w:rPr>
              <w:t>39</w:t>
            </w:r>
            <w:r>
              <w:rPr>
                <w:webHidden/>
              </w:rPr>
              <w:fldChar w:fldCharType="end"/>
            </w:r>
          </w:hyperlink>
        </w:p>
        <w:p w14:paraId="0086CECC" w14:textId="353110B7"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59" w:history="1">
            <w:r w:rsidRPr="000E11B0">
              <w:rPr>
                <w:rStyle w:val="Hipervnculo"/>
              </w:rPr>
              <w:t>7.2.1. Resultados en partición temporal fija</w:t>
            </w:r>
            <w:r>
              <w:rPr>
                <w:webHidden/>
              </w:rPr>
              <w:tab/>
            </w:r>
            <w:r>
              <w:rPr>
                <w:webHidden/>
              </w:rPr>
              <w:fldChar w:fldCharType="begin"/>
            </w:r>
            <w:r>
              <w:rPr>
                <w:webHidden/>
              </w:rPr>
              <w:instrText xml:space="preserve"> PAGEREF _Toc238464659 \h </w:instrText>
            </w:r>
            <w:r>
              <w:rPr>
                <w:webHidden/>
              </w:rPr>
            </w:r>
            <w:r>
              <w:rPr>
                <w:webHidden/>
              </w:rPr>
              <w:fldChar w:fldCharType="separate"/>
            </w:r>
            <w:r>
              <w:rPr>
                <w:webHidden/>
              </w:rPr>
              <w:t>39</w:t>
            </w:r>
            <w:r>
              <w:rPr>
                <w:webHidden/>
              </w:rPr>
              <w:fldChar w:fldCharType="end"/>
            </w:r>
          </w:hyperlink>
        </w:p>
        <w:p w14:paraId="4EB81CB5" w14:textId="5D96EEED"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0" w:history="1">
            <w:r w:rsidRPr="000E11B0">
              <w:rPr>
                <w:rStyle w:val="Hipervnculo"/>
              </w:rPr>
              <w:t>7.2.2. Validación progresiva por épocas pandémicas</w:t>
            </w:r>
            <w:r>
              <w:rPr>
                <w:webHidden/>
              </w:rPr>
              <w:tab/>
            </w:r>
            <w:r>
              <w:rPr>
                <w:webHidden/>
              </w:rPr>
              <w:fldChar w:fldCharType="begin"/>
            </w:r>
            <w:r>
              <w:rPr>
                <w:webHidden/>
              </w:rPr>
              <w:instrText xml:space="preserve"> PAGEREF _Toc238464660 \h </w:instrText>
            </w:r>
            <w:r>
              <w:rPr>
                <w:webHidden/>
              </w:rPr>
            </w:r>
            <w:r>
              <w:rPr>
                <w:webHidden/>
              </w:rPr>
              <w:fldChar w:fldCharType="separate"/>
            </w:r>
            <w:r>
              <w:rPr>
                <w:webHidden/>
              </w:rPr>
              <w:t>42</w:t>
            </w:r>
            <w:r>
              <w:rPr>
                <w:webHidden/>
              </w:rPr>
              <w:fldChar w:fldCharType="end"/>
            </w:r>
          </w:hyperlink>
        </w:p>
        <w:p w14:paraId="0832393B" w14:textId="297EB98B"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1" w:history="1">
            <w:r w:rsidRPr="000E11B0">
              <w:rPr>
                <w:rStyle w:val="Hipervnculo"/>
              </w:rPr>
              <w:t>7.2.3. Análisis SHAP de importancia de características</w:t>
            </w:r>
            <w:r>
              <w:rPr>
                <w:webHidden/>
              </w:rPr>
              <w:tab/>
            </w:r>
            <w:r>
              <w:rPr>
                <w:webHidden/>
              </w:rPr>
              <w:fldChar w:fldCharType="begin"/>
            </w:r>
            <w:r>
              <w:rPr>
                <w:webHidden/>
              </w:rPr>
              <w:instrText xml:space="preserve"> PAGEREF _Toc238464661 \h </w:instrText>
            </w:r>
            <w:r>
              <w:rPr>
                <w:webHidden/>
              </w:rPr>
            </w:r>
            <w:r>
              <w:rPr>
                <w:webHidden/>
              </w:rPr>
              <w:fldChar w:fldCharType="separate"/>
            </w:r>
            <w:r>
              <w:rPr>
                <w:webHidden/>
              </w:rPr>
              <w:t>47</w:t>
            </w:r>
            <w:r>
              <w:rPr>
                <w:webHidden/>
              </w:rPr>
              <w:fldChar w:fldCharType="end"/>
            </w:r>
          </w:hyperlink>
        </w:p>
        <w:p w14:paraId="09CA337A" w14:textId="1F808B74"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62" w:history="1">
            <w:r w:rsidRPr="000E11B0">
              <w:rPr>
                <w:rStyle w:val="Hipervnculo"/>
              </w:rPr>
              <w:t>7.3. Análisis de supervivencia Cox PH (Módulo 5)</w:t>
            </w:r>
            <w:r>
              <w:rPr>
                <w:webHidden/>
              </w:rPr>
              <w:tab/>
            </w:r>
            <w:r>
              <w:rPr>
                <w:webHidden/>
              </w:rPr>
              <w:fldChar w:fldCharType="begin"/>
            </w:r>
            <w:r>
              <w:rPr>
                <w:webHidden/>
              </w:rPr>
              <w:instrText xml:space="preserve"> PAGEREF _Toc238464662 \h </w:instrText>
            </w:r>
            <w:r>
              <w:rPr>
                <w:webHidden/>
              </w:rPr>
            </w:r>
            <w:r>
              <w:rPr>
                <w:webHidden/>
              </w:rPr>
              <w:fldChar w:fldCharType="separate"/>
            </w:r>
            <w:r>
              <w:rPr>
                <w:webHidden/>
              </w:rPr>
              <w:t>51</w:t>
            </w:r>
            <w:r>
              <w:rPr>
                <w:webHidden/>
              </w:rPr>
              <w:fldChar w:fldCharType="end"/>
            </w:r>
          </w:hyperlink>
        </w:p>
        <w:p w14:paraId="2D2574C9" w14:textId="48960B34"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3" w:history="1">
            <w:r w:rsidRPr="000E11B0">
              <w:rPr>
                <w:rStyle w:val="Hipervnculo"/>
              </w:rPr>
              <w:t>7.3.1. Kaplan-Meier: tiempo hasta dominancia de familias</w:t>
            </w:r>
            <w:r>
              <w:rPr>
                <w:webHidden/>
              </w:rPr>
              <w:tab/>
            </w:r>
            <w:r>
              <w:rPr>
                <w:webHidden/>
              </w:rPr>
              <w:fldChar w:fldCharType="begin"/>
            </w:r>
            <w:r>
              <w:rPr>
                <w:webHidden/>
              </w:rPr>
              <w:instrText xml:space="preserve"> PAGEREF _Toc238464663 \h </w:instrText>
            </w:r>
            <w:r>
              <w:rPr>
                <w:webHidden/>
              </w:rPr>
            </w:r>
            <w:r>
              <w:rPr>
                <w:webHidden/>
              </w:rPr>
              <w:fldChar w:fldCharType="separate"/>
            </w:r>
            <w:r>
              <w:rPr>
                <w:webHidden/>
              </w:rPr>
              <w:t>51</w:t>
            </w:r>
            <w:r>
              <w:rPr>
                <w:webHidden/>
              </w:rPr>
              <w:fldChar w:fldCharType="end"/>
            </w:r>
          </w:hyperlink>
        </w:p>
        <w:p w14:paraId="10FE15F8" w14:textId="7886EA47"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4" w:history="1">
            <w:r w:rsidRPr="000E11B0">
              <w:rPr>
                <w:rStyle w:val="Hipervnculo"/>
              </w:rPr>
              <w:t>7.3.2. Modelo Cox PH: hazard ratios e interpretación biológica</w:t>
            </w:r>
            <w:r>
              <w:rPr>
                <w:webHidden/>
              </w:rPr>
              <w:tab/>
            </w:r>
            <w:r>
              <w:rPr>
                <w:webHidden/>
              </w:rPr>
              <w:fldChar w:fldCharType="begin"/>
            </w:r>
            <w:r>
              <w:rPr>
                <w:webHidden/>
              </w:rPr>
              <w:instrText xml:space="preserve"> PAGEREF _Toc238464664 \h </w:instrText>
            </w:r>
            <w:r>
              <w:rPr>
                <w:webHidden/>
              </w:rPr>
            </w:r>
            <w:r>
              <w:rPr>
                <w:webHidden/>
              </w:rPr>
              <w:fldChar w:fldCharType="separate"/>
            </w:r>
            <w:r>
              <w:rPr>
                <w:webHidden/>
              </w:rPr>
              <w:t>55</w:t>
            </w:r>
            <w:r>
              <w:rPr>
                <w:webHidden/>
              </w:rPr>
              <w:fldChar w:fldCharType="end"/>
            </w:r>
          </w:hyperlink>
        </w:p>
        <w:p w14:paraId="7E9D817D" w14:textId="47887AEF"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65" w:history="1">
            <w:r w:rsidRPr="000E11B0">
              <w:rPr>
                <w:rStyle w:val="Hipervnculo"/>
              </w:rPr>
              <w:t>7.4. Sistema de alerta combinado y priorización de vigilancia (Módulo 4.4)</w:t>
            </w:r>
            <w:r>
              <w:rPr>
                <w:webHidden/>
              </w:rPr>
              <w:tab/>
            </w:r>
            <w:r>
              <w:rPr>
                <w:webHidden/>
              </w:rPr>
              <w:fldChar w:fldCharType="begin"/>
            </w:r>
            <w:r>
              <w:rPr>
                <w:webHidden/>
              </w:rPr>
              <w:instrText xml:space="preserve"> PAGEREF _Toc238464665 \h </w:instrText>
            </w:r>
            <w:r>
              <w:rPr>
                <w:webHidden/>
              </w:rPr>
            </w:r>
            <w:r>
              <w:rPr>
                <w:webHidden/>
              </w:rPr>
              <w:fldChar w:fldCharType="separate"/>
            </w:r>
            <w:r>
              <w:rPr>
                <w:webHidden/>
              </w:rPr>
              <w:t>59</w:t>
            </w:r>
            <w:r>
              <w:rPr>
                <w:webHidden/>
              </w:rPr>
              <w:fldChar w:fldCharType="end"/>
            </w:r>
          </w:hyperlink>
        </w:p>
        <w:p w14:paraId="7B7D93AA" w14:textId="29F038E9"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66" w:history="1">
            <w:r w:rsidRPr="000E11B0">
              <w:rPr>
                <w:rStyle w:val="Hipervnculo"/>
              </w:rPr>
              <w:t>7.5. Replicador log-lineal con modulación ML (Módulo 7.1)</w:t>
            </w:r>
            <w:r>
              <w:rPr>
                <w:webHidden/>
              </w:rPr>
              <w:tab/>
            </w:r>
            <w:r>
              <w:rPr>
                <w:webHidden/>
              </w:rPr>
              <w:fldChar w:fldCharType="begin"/>
            </w:r>
            <w:r>
              <w:rPr>
                <w:webHidden/>
              </w:rPr>
              <w:instrText xml:space="preserve"> PAGEREF _Toc238464666 \h </w:instrText>
            </w:r>
            <w:r>
              <w:rPr>
                <w:webHidden/>
              </w:rPr>
            </w:r>
            <w:r>
              <w:rPr>
                <w:webHidden/>
              </w:rPr>
              <w:fldChar w:fldCharType="separate"/>
            </w:r>
            <w:r>
              <w:rPr>
                <w:webHidden/>
              </w:rPr>
              <w:t>65</w:t>
            </w:r>
            <w:r>
              <w:rPr>
                <w:webHidden/>
              </w:rPr>
              <w:fldChar w:fldCharType="end"/>
            </w:r>
          </w:hyperlink>
        </w:p>
        <w:p w14:paraId="1B96D952" w14:textId="1F6EEAC7"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7" w:history="1">
            <w:r w:rsidRPr="000E11B0">
              <w:rPr>
                <w:rStyle w:val="Hipervnculo"/>
              </w:rPr>
              <w:t>7.5.1. Diseño del replicador</w:t>
            </w:r>
            <w:r>
              <w:rPr>
                <w:webHidden/>
              </w:rPr>
              <w:tab/>
            </w:r>
            <w:r>
              <w:rPr>
                <w:webHidden/>
              </w:rPr>
              <w:fldChar w:fldCharType="begin"/>
            </w:r>
            <w:r>
              <w:rPr>
                <w:webHidden/>
              </w:rPr>
              <w:instrText xml:space="preserve"> PAGEREF _Toc238464667 \h </w:instrText>
            </w:r>
            <w:r>
              <w:rPr>
                <w:webHidden/>
              </w:rPr>
            </w:r>
            <w:r>
              <w:rPr>
                <w:webHidden/>
              </w:rPr>
              <w:fldChar w:fldCharType="separate"/>
            </w:r>
            <w:r>
              <w:rPr>
                <w:webHidden/>
              </w:rPr>
              <w:t>65</w:t>
            </w:r>
            <w:r>
              <w:rPr>
                <w:webHidden/>
              </w:rPr>
              <w:fldChar w:fldCharType="end"/>
            </w:r>
          </w:hyperlink>
        </w:p>
        <w:p w14:paraId="051BDC4F" w14:textId="7004644E"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8" w:history="1">
            <w:r w:rsidRPr="000E11B0">
              <w:rPr>
                <w:rStyle w:val="Hipervnculo"/>
              </w:rPr>
              <w:t>7.5.2. Señal Cox como anotación de velocidad relativa</w:t>
            </w:r>
            <w:r>
              <w:rPr>
                <w:webHidden/>
              </w:rPr>
              <w:tab/>
            </w:r>
            <w:r>
              <w:rPr>
                <w:webHidden/>
              </w:rPr>
              <w:fldChar w:fldCharType="begin"/>
            </w:r>
            <w:r>
              <w:rPr>
                <w:webHidden/>
              </w:rPr>
              <w:instrText xml:space="preserve"> PAGEREF _Toc238464668 \h </w:instrText>
            </w:r>
            <w:r>
              <w:rPr>
                <w:webHidden/>
              </w:rPr>
            </w:r>
            <w:r>
              <w:rPr>
                <w:webHidden/>
              </w:rPr>
              <w:fldChar w:fldCharType="separate"/>
            </w:r>
            <w:r>
              <w:rPr>
                <w:webHidden/>
              </w:rPr>
              <w:t>66</w:t>
            </w:r>
            <w:r>
              <w:rPr>
                <w:webHidden/>
              </w:rPr>
              <w:fldChar w:fldCharType="end"/>
            </w:r>
          </w:hyperlink>
        </w:p>
        <w:p w14:paraId="18DF7B0C" w14:textId="68D68705"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69" w:history="1">
            <w:r w:rsidRPr="000E11B0">
              <w:rPr>
                <w:rStyle w:val="Hipervnculo"/>
              </w:rPr>
              <w:t>7.5.3. Resultados de la proyección (semana 2026-02-09)</w:t>
            </w:r>
            <w:r>
              <w:rPr>
                <w:webHidden/>
              </w:rPr>
              <w:tab/>
            </w:r>
            <w:r>
              <w:rPr>
                <w:webHidden/>
              </w:rPr>
              <w:fldChar w:fldCharType="begin"/>
            </w:r>
            <w:r>
              <w:rPr>
                <w:webHidden/>
              </w:rPr>
              <w:instrText xml:space="preserve"> PAGEREF _Toc238464669 \h </w:instrText>
            </w:r>
            <w:r>
              <w:rPr>
                <w:webHidden/>
              </w:rPr>
            </w:r>
            <w:r>
              <w:rPr>
                <w:webHidden/>
              </w:rPr>
              <w:fldChar w:fldCharType="separate"/>
            </w:r>
            <w:r>
              <w:rPr>
                <w:webHidden/>
              </w:rPr>
              <w:t>66</w:t>
            </w:r>
            <w:r>
              <w:rPr>
                <w:webHidden/>
              </w:rPr>
              <w:fldChar w:fldCharType="end"/>
            </w:r>
          </w:hyperlink>
        </w:p>
        <w:p w14:paraId="5080459D" w14:textId="5F4F0E0C"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70" w:history="1">
            <w:r w:rsidRPr="000E11B0">
              <w:rPr>
                <w:rStyle w:val="Hipervnculo"/>
              </w:rPr>
              <w:t>7.6. Validación biológica con datos de secuenciación ultra-profunda (Módulo 6)</w:t>
            </w:r>
            <w:r>
              <w:rPr>
                <w:webHidden/>
              </w:rPr>
              <w:tab/>
            </w:r>
            <w:r>
              <w:rPr>
                <w:webHidden/>
              </w:rPr>
              <w:fldChar w:fldCharType="begin"/>
            </w:r>
            <w:r>
              <w:rPr>
                <w:webHidden/>
              </w:rPr>
              <w:instrText xml:space="preserve"> PAGEREF _Toc238464670 \h </w:instrText>
            </w:r>
            <w:r>
              <w:rPr>
                <w:webHidden/>
              </w:rPr>
            </w:r>
            <w:r>
              <w:rPr>
                <w:webHidden/>
              </w:rPr>
              <w:fldChar w:fldCharType="separate"/>
            </w:r>
            <w:r>
              <w:rPr>
                <w:webHidden/>
              </w:rPr>
              <w:t>68</w:t>
            </w:r>
            <w:r>
              <w:rPr>
                <w:webHidden/>
              </w:rPr>
              <w:fldChar w:fldCharType="end"/>
            </w:r>
          </w:hyperlink>
        </w:p>
        <w:p w14:paraId="63FB7219" w14:textId="4124FA2E"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1" w:history="1">
            <w:r w:rsidRPr="000E11B0">
              <w:rPr>
                <w:rStyle w:val="Hipervnculo"/>
              </w:rPr>
              <w:t>7.6.1. Lead-time anticipatorio y distribución por ola pandémica</w:t>
            </w:r>
            <w:r>
              <w:rPr>
                <w:webHidden/>
              </w:rPr>
              <w:tab/>
            </w:r>
            <w:r>
              <w:rPr>
                <w:webHidden/>
              </w:rPr>
              <w:fldChar w:fldCharType="begin"/>
            </w:r>
            <w:r>
              <w:rPr>
                <w:webHidden/>
              </w:rPr>
              <w:instrText xml:space="preserve"> PAGEREF _Toc238464671 \h </w:instrText>
            </w:r>
            <w:r>
              <w:rPr>
                <w:webHidden/>
              </w:rPr>
            </w:r>
            <w:r>
              <w:rPr>
                <w:webHidden/>
              </w:rPr>
              <w:fldChar w:fldCharType="separate"/>
            </w:r>
            <w:r>
              <w:rPr>
                <w:webHidden/>
              </w:rPr>
              <w:t>68</w:t>
            </w:r>
            <w:r>
              <w:rPr>
                <w:webHidden/>
              </w:rPr>
              <w:fldChar w:fldCharType="end"/>
            </w:r>
          </w:hyperlink>
        </w:p>
        <w:p w14:paraId="40550FA9" w14:textId="59FF2D2B"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72" w:history="1">
            <w:r w:rsidRPr="000E11B0">
              <w:rPr>
                <w:rStyle w:val="Hipervnculo"/>
              </w:rPr>
              <w:t>7.7. Validación interna</w:t>
            </w:r>
            <w:r>
              <w:rPr>
                <w:webHidden/>
              </w:rPr>
              <w:tab/>
            </w:r>
            <w:r>
              <w:rPr>
                <w:webHidden/>
              </w:rPr>
              <w:fldChar w:fldCharType="begin"/>
            </w:r>
            <w:r>
              <w:rPr>
                <w:webHidden/>
              </w:rPr>
              <w:instrText xml:space="preserve"> PAGEREF _Toc238464672 \h </w:instrText>
            </w:r>
            <w:r>
              <w:rPr>
                <w:webHidden/>
              </w:rPr>
            </w:r>
            <w:r>
              <w:rPr>
                <w:webHidden/>
              </w:rPr>
              <w:fldChar w:fldCharType="separate"/>
            </w:r>
            <w:r>
              <w:rPr>
                <w:webHidden/>
              </w:rPr>
              <w:t>68</w:t>
            </w:r>
            <w:r>
              <w:rPr>
                <w:webHidden/>
              </w:rPr>
              <w:fldChar w:fldCharType="end"/>
            </w:r>
          </w:hyperlink>
        </w:p>
        <w:p w14:paraId="1A46936C" w14:textId="6E7FD86B"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3" w:history="1">
            <w:r w:rsidRPr="000E11B0">
              <w:rPr>
                <w:rStyle w:val="Hipervnculo"/>
              </w:rPr>
              <w:t>7.7.1. Partición temporal fija (train &lt; 2023-06-01, test ≥ 2023-06-01)</w:t>
            </w:r>
            <w:r>
              <w:rPr>
                <w:webHidden/>
              </w:rPr>
              <w:tab/>
            </w:r>
            <w:r>
              <w:rPr>
                <w:webHidden/>
              </w:rPr>
              <w:fldChar w:fldCharType="begin"/>
            </w:r>
            <w:r>
              <w:rPr>
                <w:webHidden/>
              </w:rPr>
              <w:instrText xml:space="preserve"> PAGEREF _Toc238464673 \h </w:instrText>
            </w:r>
            <w:r>
              <w:rPr>
                <w:webHidden/>
              </w:rPr>
            </w:r>
            <w:r>
              <w:rPr>
                <w:webHidden/>
              </w:rPr>
              <w:fldChar w:fldCharType="separate"/>
            </w:r>
            <w:r>
              <w:rPr>
                <w:webHidden/>
              </w:rPr>
              <w:t>69</w:t>
            </w:r>
            <w:r>
              <w:rPr>
                <w:webHidden/>
              </w:rPr>
              <w:fldChar w:fldCharType="end"/>
            </w:r>
          </w:hyperlink>
        </w:p>
        <w:p w14:paraId="20926596" w14:textId="0C413BE6"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4" w:history="1">
            <w:r w:rsidRPr="000E11B0">
              <w:rPr>
                <w:rStyle w:val="Hipervnculo"/>
              </w:rPr>
              <w:t>7.7.2. Validación progresiva por épocas pandémicas (5 folds)</w:t>
            </w:r>
            <w:r>
              <w:rPr>
                <w:webHidden/>
              </w:rPr>
              <w:tab/>
            </w:r>
            <w:r>
              <w:rPr>
                <w:webHidden/>
              </w:rPr>
              <w:fldChar w:fldCharType="begin"/>
            </w:r>
            <w:r>
              <w:rPr>
                <w:webHidden/>
              </w:rPr>
              <w:instrText xml:space="preserve"> PAGEREF _Toc238464674 \h </w:instrText>
            </w:r>
            <w:r>
              <w:rPr>
                <w:webHidden/>
              </w:rPr>
            </w:r>
            <w:r>
              <w:rPr>
                <w:webHidden/>
              </w:rPr>
              <w:fldChar w:fldCharType="separate"/>
            </w:r>
            <w:r>
              <w:rPr>
                <w:webHidden/>
              </w:rPr>
              <w:t>69</w:t>
            </w:r>
            <w:r>
              <w:rPr>
                <w:webHidden/>
              </w:rPr>
              <w:fldChar w:fldCharType="end"/>
            </w:r>
          </w:hyperlink>
        </w:p>
        <w:p w14:paraId="2B4FECAE" w14:textId="4B9D70F2"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5" w:history="1">
            <w:r w:rsidRPr="000E11B0">
              <w:rPr>
                <w:rStyle w:val="Hipervnculo"/>
              </w:rPr>
              <w:t>7.7.3. Validación cruzada estratificada para M1: una trampa metodológica</w:t>
            </w:r>
            <w:r>
              <w:rPr>
                <w:webHidden/>
              </w:rPr>
              <w:tab/>
            </w:r>
            <w:r>
              <w:rPr>
                <w:webHidden/>
              </w:rPr>
              <w:fldChar w:fldCharType="begin"/>
            </w:r>
            <w:r>
              <w:rPr>
                <w:webHidden/>
              </w:rPr>
              <w:instrText xml:space="preserve"> PAGEREF _Toc238464675 \h </w:instrText>
            </w:r>
            <w:r>
              <w:rPr>
                <w:webHidden/>
              </w:rPr>
            </w:r>
            <w:r>
              <w:rPr>
                <w:webHidden/>
              </w:rPr>
              <w:fldChar w:fldCharType="separate"/>
            </w:r>
            <w:r>
              <w:rPr>
                <w:webHidden/>
              </w:rPr>
              <w:t>69</w:t>
            </w:r>
            <w:r>
              <w:rPr>
                <w:webHidden/>
              </w:rPr>
              <w:fldChar w:fldCharType="end"/>
            </w:r>
          </w:hyperlink>
        </w:p>
        <w:p w14:paraId="3437AA1A" w14:textId="6F0CA8C2"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6" w:history="1">
            <w:r w:rsidRPr="000E11B0">
              <w:rPr>
                <w:rStyle w:val="Hipervnculo"/>
              </w:rPr>
              <w:t>7.7.4. Backtesting retrospectivo de transiciones de dominancia</w:t>
            </w:r>
            <w:r>
              <w:rPr>
                <w:webHidden/>
              </w:rPr>
              <w:tab/>
            </w:r>
            <w:r>
              <w:rPr>
                <w:webHidden/>
              </w:rPr>
              <w:fldChar w:fldCharType="begin"/>
            </w:r>
            <w:r>
              <w:rPr>
                <w:webHidden/>
              </w:rPr>
              <w:instrText xml:space="preserve"> PAGEREF _Toc238464676 \h </w:instrText>
            </w:r>
            <w:r>
              <w:rPr>
                <w:webHidden/>
              </w:rPr>
            </w:r>
            <w:r>
              <w:rPr>
                <w:webHidden/>
              </w:rPr>
              <w:fldChar w:fldCharType="separate"/>
            </w:r>
            <w:r>
              <w:rPr>
                <w:webHidden/>
              </w:rPr>
              <w:t>69</w:t>
            </w:r>
            <w:r>
              <w:rPr>
                <w:webHidden/>
              </w:rPr>
              <w:fldChar w:fldCharType="end"/>
            </w:r>
          </w:hyperlink>
        </w:p>
        <w:p w14:paraId="56856795" w14:textId="18A05C22"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77" w:history="1">
            <w:r w:rsidRPr="000E11B0">
              <w:rPr>
                <w:rStyle w:val="Hipervnculo"/>
              </w:rPr>
              <w:t>7.8. Validación externa prospectiva (junio 2026)</w:t>
            </w:r>
            <w:r>
              <w:rPr>
                <w:webHidden/>
              </w:rPr>
              <w:tab/>
            </w:r>
            <w:r>
              <w:rPr>
                <w:webHidden/>
              </w:rPr>
              <w:fldChar w:fldCharType="begin"/>
            </w:r>
            <w:r>
              <w:rPr>
                <w:webHidden/>
              </w:rPr>
              <w:instrText xml:space="preserve"> PAGEREF _Toc238464677 \h </w:instrText>
            </w:r>
            <w:r>
              <w:rPr>
                <w:webHidden/>
              </w:rPr>
            </w:r>
            <w:r>
              <w:rPr>
                <w:webHidden/>
              </w:rPr>
              <w:fldChar w:fldCharType="separate"/>
            </w:r>
            <w:r>
              <w:rPr>
                <w:webHidden/>
              </w:rPr>
              <w:t>70</w:t>
            </w:r>
            <w:r>
              <w:rPr>
                <w:webHidden/>
              </w:rPr>
              <w:fldChar w:fldCharType="end"/>
            </w:r>
          </w:hyperlink>
        </w:p>
        <w:p w14:paraId="56E3AB8D" w14:textId="754892C7"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8" w:history="1">
            <w:r w:rsidRPr="000E11B0">
              <w:rPr>
                <w:rStyle w:val="Hipervnculo"/>
              </w:rPr>
              <w:t>7.8.1. Análisis del fallo principal: BA.3.2.2</w:t>
            </w:r>
            <w:r>
              <w:rPr>
                <w:webHidden/>
              </w:rPr>
              <w:tab/>
            </w:r>
            <w:r>
              <w:rPr>
                <w:webHidden/>
              </w:rPr>
              <w:fldChar w:fldCharType="begin"/>
            </w:r>
            <w:r>
              <w:rPr>
                <w:webHidden/>
              </w:rPr>
              <w:instrText xml:space="preserve"> PAGEREF _Toc238464678 \h </w:instrText>
            </w:r>
            <w:r>
              <w:rPr>
                <w:webHidden/>
              </w:rPr>
            </w:r>
            <w:r>
              <w:rPr>
                <w:webHidden/>
              </w:rPr>
              <w:fldChar w:fldCharType="separate"/>
            </w:r>
            <w:r>
              <w:rPr>
                <w:webHidden/>
              </w:rPr>
              <w:t>71</w:t>
            </w:r>
            <w:r>
              <w:rPr>
                <w:webHidden/>
              </w:rPr>
              <w:fldChar w:fldCharType="end"/>
            </w:r>
          </w:hyperlink>
        </w:p>
        <w:p w14:paraId="773913B1" w14:textId="68ADD333"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79" w:history="1">
            <w:r w:rsidRPr="000E11B0">
              <w:rPr>
                <w:rStyle w:val="Hipervnculo"/>
              </w:rPr>
              <w:t>7.8.2. Contribución de la modulación ML vs. modelo de referencia empírico</w:t>
            </w:r>
            <w:r>
              <w:rPr>
                <w:webHidden/>
              </w:rPr>
              <w:tab/>
            </w:r>
            <w:r>
              <w:rPr>
                <w:webHidden/>
              </w:rPr>
              <w:fldChar w:fldCharType="begin"/>
            </w:r>
            <w:r>
              <w:rPr>
                <w:webHidden/>
              </w:rPr>
              <w:instrText xml:space="preserve"> PAGEREF _Toc238464679 \h </w:instrText>
            </w:r>
            <w:r>
              <w:rPr>
                <w:webHidden/>
              </w:rPr>
            </w:r>
            <w:r>
              <w:rPr>
                <w:webHidden/>
              </w:rPr>
              <w:fldChar w:fldCharType="separate"/>
            </w:r>
            <w:r>
              <w:rPr>
                <w:webHidden/>
              </w:rPr>
              <w:t>72</w:t>
            </w:r>
            <w:r>
              <w:rPr>
                <w:webHidden/>
              </w:rPr>
              <w:fldChar w:fldCharType="end"/>
            </w:r>
          </w:hyperlink>
        </w:p>
        <w:p w14:paraId="63B5547A" w14:textId="7281AAC7"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80" w:history="1">
            <w:r w:rsidRPr="000E11B0">
              <w:rPr>
                <w:rStyle w:val="Hipervnculo"/>
              </w:rPr>
              <w:t>8. Discusión</w:t>
            </w:r>
            <w:r>
              <w:rPr>
                <w:webHidden/>
              </w:rPr>
              <w:tab/>
            </w:r>
            <w:r>
              <w:rPr>
                <w:webHidden/>
              </w:rPr>
              <w:fldChar w:fldCharType="begin"/>
            </w:r>
            <w:r>
              <w:rPr>
                <w:webHidden/>
              </w:rPr>
              <w:instrText xml:space="preserve"> PAGEREF _Toc238464680 \h </w:instrText>
            </w:r>
            <w:r>
              <w:rPr>
                <w:webHidden/>
              </w:rPr>
            </w:r>
            <w:r>
              <w:rPr>
                <w:webHidden/>
              </w:rPr>
              <w:fldChar w:fldCharType="separate"/>
            </w:r>
            <w:r>
              <w:rPr>
                <w:webHidden/>
              </w:rPr>
              <w:t>73</w:t>
            </w:r>
            <w:r>
              <w:rPr>
                <w:webHidden/>
              </w:rPr>
              <w:fldChar w:fldCharType="end"/>
            </w:r>
          </w:hyperlink>
        </w:p>
        <w:p w14:paraId="3E76AACE" w14:textId="4BBAAE70"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81" w:history="1">
            <w:r w:rsidRPr="000E11B0">
              <w:rPr>
                <w:rStyle w:val="Hipervnculo"/>
              </w:rPr>
              <w:t>8.1. Interpretación técnica</w:t>
            </w:r>
            <w:r>
              <w:rPr>
                <w:webHidden/>
              </w:rPr>
              <w:tab/>
            </w:r>
            <w:r>
              <w:rPr>
                <w:webHidden/>
              </w:rPr>
              <w:fldChar w:fldCharType="begin"/>
            </w:r>
            <w:r>
              <w:rPr>
                <w:webHidden/>
              </w:rPr>
              <w:instrText xml:space="preserve"> PAGEREF _Toc238464681 \h </w:instrText>
            </w:r>
            <w:r>
              <w:rPr>
                <w:webHidden/>
              </w:rPr>
            </w:r>
            <w:r>
              <w:rPr>
                <w:webHidden/>
              </w:rPr>
              <w:fldChar w:fldCharType="separate"/>
            </w:r>
            <w:r>
              <w:rPr>
                <w:webHidden/>
              </w:rPr>
              <w:t>73</w:t>
            </w:r>
            <w:r>
              <w:rPr>
                <w:webHidden/>
              </w:rPr>
              <w:fldChar w:fldCharType="end"/>
            </w:r>
          </w:hyperlink>
        </w:p>
        <w:p w14:paraId="69837C8C" w14:textId="748689E3"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82" w:history="1">
            <w:r w:rsidRPr="000E11B0">
              <w:rPr>
                <w:rStyle w:val="Hipervnculo"/>
              </w:rPr>
              <w:t>8.2. Interpretación biológica</w:t>
            </w:r>
            <w:r>
              <w:rPr>
                <w:webHidden/>
              </w:rPr>
              <w:tab/>
            </w:r>
            <w:r>
              <w:rPr>
                <w:webHidden/>
              </w:rPr>
              <w:fldChar w:fldCharType="begin"/>
            </w:r>
            <w:r>
              <w:rPr>
                <w:webHidden/>
              </w:rPr>
              <w:instrText xml:space="preserve"> PAGEREF _Toc238464682 \h </w:instrText>
            </w:r>
            <w:r>
              <w:rPr>
                <w:webHidden/>
              </w:rPr>
            </w:r>
            <w:r>
              <w:rPr>
                <w:webHidden/>
              </w:rPr>
              <w:fldChar w:fldCharType="separate"/>
            </w:r>
            <w:r>
              <w:rPr>
                <w:webHidden/>
              </w:rPr>
              <w:t>74</w:t>
            </w:r>
            <w:r>
              <w:rPr>
                <w:webHidden/>
              </w:rPr>
              <w:fldChar w:fldCharType="end"/>
            </w:r>
          </w:hyperlink>
        </w:p>
        <w:p w14:paraId="744DED49" w14:textId="797D6633"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83" w:history="1">
            <w:r w:rsidRPr="000E11B0">
              <w:rPr>
                <w:rStyle w:val="Hipervnculo"/>
              </w:rPr>
              <w:t>8.3. Limitaciones</w:t>
            </w:r>
            <w:r>
              <w:rPr>
                <w:webHidden/>
              </w:rPr>
              <w:tab/>
            </w:r>
            <w:r>
              <w:rPr>
                <w:webHidden/>
              </w:rPr>
              <w:fldChar w:fldCharType="begin"/>
            </w:r>
            <w:r>
              <w:rPr>
                <w:webHidden/>
              </w:rPr>
              <w:instrText xml:space="preserve"> PAGEREF _Toc238464683 \h </w:instrText>
            </w:r>
            <w:r>
              <w:rPr>
                <w:webHidden/>
              </w:rPr>
            </w:r>
            <w:r>
              <w:rPr>
                <w:webHidden/>
              </w:rPr>
              <w:fldChar w:fldCharType="separate"/>
            </w:r>
            <w:r>
              <w:rPr>
                <w:webHidden/>
              </w:rPr>
              <w:t>75</w:t>
            </w:r>
            <w:r>
              <w:rPr>
                <w:webHidden/>
              </w:rPr>
              <w:fldChar w:fldCharType="end"/>
            </w:r>
          </w:hyperlink>
        </w:p>
        <w:p w14:paraId="6C94EEF8" w14:textId="10CF839F"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84" w:history="1">
            <w:r w:rsidRPr="000E11B0">
              <w:rPr>
                <w:rStyle w:val="Hipervnculo"/>
              </w:rPr>
              <w:t>8.3.1. Limitaciones de los datos</w:t>
            </w:r>
            <w:r>
              <w:rPr>
                <w:webHidden/>
              </w:rPr>
              <w:tab/>
            </w:r>
            <w:r>
              <w:rPr>
                <w:webHidden/>
              </w:rPr>
              <w:fldChar w:fldCharType="begin"/>
            </w:r>
            <w:r>
              <w:rPr>
                <w:webHidden/>
              </w:rPr>
              <w:instrText xml:space="preserve"> PAGEREF _Toc238464684 \h </w:instrText>
            </w:r>
            <w:r>
              <w:rPr>
                <w:webHidden/>
              </w:rPr>
            </w:r>
            <w:r>
              <w:rPr>
                <w:webHidden/>
              </w:rPr>
              <w:fldChar w:fldCharType="separate"/>
            </w:r>
            <w:r>
              <w:rPr>
                <w:webHidden/>
              </w:rPr>
              <w:t>75</w:t>
            </w:r>
            <w:r>
              <w:rPr>
                <w:webHidden/>
              </w:rPr>
              <w:fldChar w:fldCharType="end"/>
            </w:r>
          </w:hyperlink>
        </w:p>
        <w:p w14:paraId="28A09E33" w14:textId="086B6BEE" w:rsidR="0072479D" w:rsidRDefault="0072479D">
          <w:pPr>
            <w:pStyle w:val="TDC3"/>
            <w:tabs>
              <w:tab w:val="right" w:leader="dot" w:pos="9112"/>
            </w:tabs>
            <w:rPr>
              <w:rFonts w:asciiTheme="minorHAnsi" w:hAnsiTheme="minorHAnsi"/>
              <w:kern w:val="2"/>
              <w:sz w:val="24"/>
              <w:szCs w:val="24"/>
              <w:lang w:eastAsia="es-ES"/>
              <w14:ligatures w14:val="standardContextual"/>
            </w:rPr>
          </w:pPr>
          <w:hyperlink w:anchor="_Toc238464685" w:history="1">
            <w:r w:rsidRPr="000E11B0">
              <w:rPr>
                <w:rStyle w:val="Hipervnculo"/>
              </w:rPr>
              <w:t>8.3.2. Limitaciones del modelo</w:t>
            </w:r>
            <w:r>
              <w:rPr>
                <w:webHidden/>
              </w:rPr>
              <w:tab/>
            </w:r>
            <w:r>
              <w:rPr>
                <w:webHidden/>
              </w:rPr>
              <w:fldChar w:fldCharType="begin"/>
            </w:r>
            <w:r>
              <w:rPr>
                <w:webHidden/>
              </w:rPr>
              <w:instrText xml:space="preserve"> PAGEREF _Toc238464685 \h </w:instrText>
            </w:r>
            <w:r>
              <w:rPr>
                <w:webHidden/>
              </w:rPr>
            </w:r>
            <w:r>
              <w:rPr>
                <w:webHidden/>
              </w:rPr>
              <w:fldChar w:fldCharType="separate"/>
            </w:r>
            <w:r>
              <w:rPr>
                <w:webHidden/>
              </w:rPr>
              <w:t>75</w:t>
            </w:r>
            <w:r>
              <w:rPr>
                <w:webHidden/>
              </w:rPr>
              <w:fldChar w:fldCharType="end"/>
            </w:r>
          </w:hyperlink>
        </w:p>
        <w:p w14:paraId="34E1D8FA" w14:textId="679C03BB"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86" w:history="1">
            <w:r w:rsidRPr="000E11B0">
              <w:rPr>
                <w:rStyle w:val="Hipervnculo"/>
              </w:rPr>
              <w:t>9. Conclusiones y Trabajo Futuro</w:t>
            </w:r>
            <w:r>
              <w:rPr>
                <w:webHidden/>
              </w:rPr>
              <w:tab/>
            </w:r>
            <w:r>
              <w:rPr>
                <w:webHidden/>
              </w:rPr>
              <w:fldChar w:fldCharType="begin"/>
            </w:r>
            <w:r>
              <w:rPr>
                <w:webHidden/>
              </w:rPr>
              <w:instrText xml:space="preserve"> PAGEREF _Toc238464686 \h </w:instrText>
            </w:r>
            <w:r>
              <w:rPr>
                <w:webHidden/>
              </w:rPr>
            </w:r>
            <w:r>
              <w:rPr>
                <w:webHidden/>
              </w:rPr>
              <w:fldChar w:fldCharType="separate"/>
            </w:r>
            <w:r>
              <w:rPr>
                <w:webHidden/>
              </w:rPr>
              <w:t>77</w:t>
            </w:r>
            <w:r>
              <w:rPr>
                <w:webHidden/>
              </w:rPr>
              <w:fldChar w:fldCharType="end"/>
            </w:r>
          </w:hyperlink>
        </w:p>
        <w:p w14:paraId="574DCF7A" w14:textId="50C9E4F8"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87" w:history="1">
            <w:r w:rsidRPr="000E11B0">
              <w:rPr>
                <w:rStyle w:val="Hipervnculo"/>
              </w:rPr>
              <w:t>9.1. Conclusiones técnicas</w:t>
            </w:r>
            <w:r>
              <w:rPr>
                <w:webHidden/>
              </w:rPr>
              <w:tab/>
            </w:r>
            <w:r>
              <w:rPr>
                <w:webHidden/>
              </w:rPr>
              <w:fldChar w:fldCharType="begin"/>
            </w:r>
            <w:r>
              <w:rPr>
                <w:webHidden/>
              </w:rPr>
              <w:instrText xml:space="preserve"> PAGEREF _Toc238464687 \h </w:instrText>
            </w:r>
            <w:r>
              <w:rPr>
                <w:webHidden/>
              </w:rPr>
            </w:r>
            <w:r>
              <w:rPr>
                <w:webHidden/>
              </w:rPr>
              <w:fldChar w:fldCharType="separate"/>
            </w:r>
            <w:r>
              <w:rPr>
                <w:webHidden/>
              </w:rPr>
              <w:t>77</w:t>
            </w:r>
            <w:r>
              <w:rPr>
                <w:webHidden/>
              </w:rPr>
              <w:fldChar w:fldCharType="end"/>
            </w:r>
          </w:hyperlink>
        </w:p>
        <w:p w14:paraId="5F1D614C" w14:textId="01BC90F5"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88" w:history="1">
            <w:r w:rsidRPr="000E11B0">
              <w:rPr>
                <w:rStyle w:val="Hipervnculo"/>
              </w:rPr>
              <w:t>9.2. Conclusiones biológicas</w:t>
            </w:r>
            <w:r>
              <w:rPr>
                <w:webHidden/>
              </w:rPr>
              <w:tab/>
            </w:r>
            <w:r>
              <w:rPr>
                <w:webHidden/>
              </w:rPr>
              <w:fldChar w:fldCharType="begin"/>
            </w:r>
            <w:r>
              <w:rPr>
                <w:webHidden/>
              </w:rPr>
              <w:instrText xml:space="preserve"> PAGEREF _Toc238464688 \h </w:instrText>
            </w:r>
            <w:r>
              <w:rPr>
                <w:webHidden/>
              </w:rPr>
            </w:r>
            <w:r>
              <w:rPr>
                <w:webHidden/>
              </w:rPr>
              <w:fldChar w:fldCharType="separate"/>
            </w:r>
            <w:r>
              <w:rPr>
                <w:webHidden/>
              </w:rPr>
              <w:t>78</w:t>
            </w:r>
            <w:r>
              <w:rPr>
                <w:webHidden/>
              </w:rPr>
              <w:fldChar w:fldCharType="end"/>
            </w:r>
          </w:hyperlink>
        </w:p>
        <w:p w14:paraId="052A829F" w14:textId="52B36ECF"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89" w:history="1">
            <w:r w:rsidRPr="000E11B0">
              <w:rPr>
                <w:rStyle w:val="Hipervnculo"/>
              </w:rPr>
              <w:t>9.3. Trabajo futuro</w:t>
            </w:r>
            <w:r>
              <w:rPr>
                <w:webHidden/>
              </w:rPr>
              <w:tab/>
            </w:r>
            <w:r>
              <w:rPr>
                <w:webHidden/>
              </w:rPr>
              <w:fldChar w:fldCharType="begin"/>
            </w:r>
            <w:r>
              <w:rPr>
                <w:webHidden/>
              </w:rPr>
              <w:instrText xml:space="preserve"> PAGEREF _Toc238464689 \h </w:instrText>
            </w:r>
            <w:r>
              <w:rPr>
                <w:webHidden/>
              </w:rPr>
            </w:r>
            <w:r>
              <w:rPr>
                <w:webHidden/>
              </w:rPr>
              <w:fldChar w:fldCharType="separate"/>
            </w:r>
            <w:r>
              <w:rPr>
                <w:webHidden/>
              </w:rPr>
              <w:t>79</w:t>
            </w:r>
            <w:r>
              <w:rPr>
                <w:webHidden/>
              </w:rPr>
              <w:fldChar w:fldCharType="end"/>
            </w:r>
          </w:hyperlink>
        </w:p>
        <w:p w14:paraId="4AE1B15A" w14:textId="777483B0"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90" w:history="1">
            <w:r w:rsidRPr="000E11B0">
              <w:rPr>
                <w:rStyle w:val="Hipervnculo"/>
              </w:rPr>
              <w:t>Referencias</w:t>
            </w:r>
            <w:r>
              <w:rPr>
                <w:webHidden/>
              </w:rPr>
              <w:tab/>
            </w:r>
            <w:r>
              <w:rPr>
                <w:webHidden/>
              </w:rPr>
              <w:fldChar w:fldCharType="begin"/>
            </w:r>
            <w:r>
              <w:rPr>
                <w:webHidden/>
              </w:rPr>
              <w:instrText xml:space="preserve"> PAGEREF _Toc238464690 \h </w:instrText>
            </w:r>
            <w:r>
              <w:rPr>
                <w:webHidden/>
              </w:rPr>
            </w:r>
            <w:r>
              <w:rPr>
                <w:webHidden/>
              </w:rPr>
              <w:fldChar w:fldCharType="separate"/>
            </w:r>
            <w:r>
              <w:rPr>
                <w:webHidden/>
              </w:rPr>
              <w:t>80</w:t>
            </w:r>
            <w:r>
              <w:rPr>
                <w:webHidden/>
              </w:rPr>
              <w:fldChar w:fldCharType="end"/>
            </w:r>
          </w:hyperlink>
        </w:p>
        <w:p w14:paraId="4F5DAE40" w14:textId="5BF49BDB"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91" w:history="1">
            <w:r w:rsidRPr="000E11B0">
              <w:rPr>
                <w:rStyle w:val="Hipervnculo"/>
              </w:rPr>
              <w:t>Apéndice A: Parámetros del modelo y configuración técnica</w:t>
            </w:r>
            <w:r>
              <w:rPr>
                <w:webHidden/>
              </w:rPr>
              <w:tab/>
            </w:r>
            <w:r>
              <w:rPr>
                <w:webHidden/>
              </w:rPr>
              <w:fldChar w:fldCharType="begin"/>
            </w:r>
            <w:r>
              <w:rPr>
                <w:webHidden/>
              </w:rPr>
              <w:instrText xml:space="preserve"> PAGEREF _Toc238464691 \h </w:instrText>
            </w:r>
            <w:r>
              <w:rPr>
                <w:webHidden/>
              </w:rPr>
            </w:r>
            <w:r>
              <w:rPr>
                <w:webHidden/>
              </w:rPr>
              <w:fldChar w:fldCharType="separate"/>
            </w:r>
            <w:r>
              <w:rPr>
                <w:webHidden/>
              </w:rPr>
              <w:t>85</w:t>
            </w:r>
            <w:r>
              <w:rPr>
                <w:webHidden/>
              </w:rPr>
              <w:fldChar w:fldCharType="end"/>
            </w:r>
          </w:hyperlink>
        </w:p>
        <w:p w14:paraId="57F29DF2" w14:textId="3426E379"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92" w:history="1">
            <w:r w:rsidRPr="000E11B0">
              <w:rPr>
                <w:rStyle w:val="Hipervnculo"/>
              </w:rPr>
              <w:t>A.1. Hiperparámetros LightGBM</w:t>
            </w:r>
            <w:r>
              <w:rPr>
                <w:webHidden/>
              </w:rPr>
              <w:tab/>
            </w:r>
            <w:r>
              <w:rPr>
                <w:webHidden/>
              </w:rPr>
              <w:fldChar w:fldCharType="begin"/>
            </w:r>
            <w:r>
              <w:rPr>
                <w:webHidden/>
              </w:rPr>
              <w:instrText xml:space="preserve"> PAGEREF _Toc238464692 \h </w:instrText>
            </w:r>
            <w:r>
              <w:rPr>
                <w:webHidden/>
              </w:rPr>
            </w:r>
            <w:r>
              <w:rPr>
                <w:webHidden/>
              </w:rPr>
              <w:fldChar w:fldCharType="separate"/>
            </w:r>
            <w:r>
              <w:rPr>
                <w:webHidden/>
              </w:rPr>
              <w:t>85</w:t>
            </w:r>
            <w:r>
              <w:rPr>
                <w:webHidden/>
              </w:rPr>
              <w:fldChar w:fldCharType="end"/>
            </w:r>
          </w:hyperlink>
        </w:p>
        <w:p w14:paraId="11A23ECF" w14:textId="1232C047" w:rsidR="0072479D" w:rsidRDefault="0072479D">
          <w:pPr>
            <w:pStyle w:val="TDC2"/>
            <w:tabs>
              <w:tab w:val="right" w:leader="dot" w:pos="9112"/>
            </w:tabs>
            <w:rPr>
              <w:rFonts w:asciiTheme="minorHAnsi" w:hAnsiTheme="minorHAnsi"/>
              <w:kern w:val="2"/>
              <w:sz w:val="24"/>
              <w:szCs w:val="24"/>
              <w:lang w:eastAsia="es-ES"/>
              <w14:ligatures w14:val="standardContextual"/>
            </w:rPr>
          </w:pPr>
          <w:hyperlink w:anchor="_Toc238464693" w:history="1">
            <w:r w:rsidRPr="000E11B0">
              <w:rPr>
                <w:rStyle w:val="Hipervnculo"/>
              </w:rPr>
              <w:t>A.2. Configuración del sistema Cox PH (lifelines)</w:t>
            </w:r>
            <w:r>
              <w:rPr>
                <w:webHidden/>
              </w:rPr>
              <w:tab/>
            </w:r>
            <w:r>
              <w:rPr>
                <w:webHidden/>
              </w:rPr>
              <w:fldChar w:fldCharType="begin"/>
            </w:r>
            <w:r>
              <w:rPr>
                <w:webHidden/>
              </w:rPr>
              <w:instrText xml:space="preserve"> PAGEREF _Toc238464693 \h </w:instrText>
            </w:r>
            <w:r>
              <w:rPr>
                <w:webHidden/>
              </w:rPr>
            </w:r>
            <w:r>
              <w:rPr>
                <w:webHidden/>
              </w:rPr>
              <w:fldChar w:fldCharType="separate"/>
            </w:r>
            <w:r>
              <w:rPr>
                <w:webHidden/>
              </w:rPr>
              <w:t>85</w:t>
            </w:r>
            <w:r>
              <w:rPr>
                <w:webHidden/>
              </w:rPr>
              <w:fldChar w:fldCharType="end"/>
            </w:r>
          </w:hyperlink>
        </w:p>
        <w:p w14:paraId="18504246" w14:textId="6D170C96" w:rsidR="0072479D" w:rsidRDefault="0072479D">
          <w:pPr>
            <w:pStyle w:val="TDC1"/>
            <w:tabs>
              <w:tab w:val="right" w:leader="dot" w:pos="9112"/>
            </w:tabs>
            <w:rPr>
              <w:rFonts w:asciiTheme="minorHAnsi" w:hAnsiTheme="minorHAnsi"/>
              <w:kern w:val="2"/>
              <w:sz w:val="24"/>
              <w:szCs w:val="24"/>
              <w:lang w:eastAsia="es-ES"/>
              <w14:ligatures w14:val="standardContextual"/>
            </w:rPr>
          </w:pPr>
          <w:hyperlink w:anchor="_Toc238464694" w:history="1">
            <w:r w:rsidRPr="000E11B0">
              <w:rPr>
                <w:rStyle w:val="Hipervnculo"/>
              </w:rPr>
              <w:t>Apéndice B: Reproducibilidad y código</w:t>
            </w:r>
            <w:r>
              <w:rPr>
                <w:webHidden/>
              </w:rPr>
              <w:tab/>
            </w:r>
            <w:r>
              <w:rPr>
                <w:webHidden/>
              </w:rPr>
              <w:fldChar w:fldCharType="begin"/>
            </w:r>
            <w:r>
              <w:rPr>
                <w:webHidden/>
              </w:rPr>
              <w:instrText xml:space="preserve"> PAGEREF _Toc238464694 \h </w:instrText>
            </w:r>
            <w:r>
              <w:rPr>
                <w:webHidden/>
              </w:rPr>
            </w:r>
            <w:r>
              <w:rPr>
                <w:webHidden/>
              </w:rPr>
              <w:fldChar w:fldCharType="separate"/>
            </w:r>
            <w:r>
              <w:rPr>
                <w:webHidden/>
              </w:rPr>
              <w:t>86</w:t>
            </w:r>
            <w:r>
              <w:rPr>
                <w:webHidden/>
              </w:rPr>
              <w:fldChar w:fldCharType="end"/>
            </w:r>
          </w:hyperlink>
        </w:p>
        <w:p w14:paraId="1C1E1F92" w14:textId="5A0B3E50" w:rsidR="00193A64" w:rsidRPr="00FF276E" w:rsidRDefault="00193A64">
          <w:r w:rsidRPr="00FF276E">
            <w:rPr>
              <w:b/>
              <w:bCs/>
            </w:rPr>
            <w:fldChar w:fldCharType="end"/>
          </w:r>
        </w:p>
      </w:sdtContent>
    </w:sdt>
    <w:p w14:paraId="4AADE095" w14:textId="77777777" w:rsidR="00356050" w:rsidRPr="00FF276E" w:rsidRDefault="00356050" w:rsidP="00F51350">
      <w:r w:rsidRPr="00FF276E">
        <w:br w:type="page"/>
      </w:r>
    </w:p>
    <w:p w14:paraId="0B8D84FB" w14:textId="77777777" w:rsidR="00AE4C5F" w:rsidRPr="00FF276E" w:rsidRDefault="00E35FF3">
      <w:pPr>
        <w:pStyle w:val="Ttulo1"/>
        <w:rPr>
          <w:color w:val="1F497D"/>
        </w:rPr>
      </w:pPr>
      <w:bookmarkStart w:id="4" w:name="_Toc234787600"/>
      <w:bookmarkStart w:id="5" w:name="_Toc238464621"/>
      <w:r w:rsidRPr="00FF276E">
        <w:rPr>
          <w:color w:val="1F497D"/>
        </w:rPr>
        <w:lastRenderedPageBreak/>
        <w:t>1. Introducción</w:t>
      </w:r>
      <w:bookmarkEnd w:id="4"/>
      <w:bookmarkEnd w:id="5"/>
    </w:p>
    <w:p w14:paraId="4F334449" w14:textId="77777777" w:rsidR="00AE4C5F" w:rsidRPr="00FF276E" w:rsidRDefault="00E35FF3">
      <w:pPr>
        <w:pStyle w:val="Ttulo2"/>
        <w:rPr>
          <w:color w:val="2E74B5"/>
        </w:rPr>
      </w:pPr>
      <w:bookmarkStart w:id="6" w:name="_Toc234787601"/>
      <w:bookmarkStart w:id="7" w:name="_Toc238464622"/>
      <w:r w:rsidRPr="00FF276E">
        <w:rPr>
          <w:color w:val="2E74B5"/>
        </w:rPr>
        <w:t>1.1. Contexto epidemiológico</w:t>
      </w:r>
      <w:bookmarkEnd w:id="6"/>
      <w:bookmarkEnd w:id="7"/>
    </w:p>
    <w:p w14:paraId="7CCF79B6" w14:textId="77777777" w:rsidR="00AE4C5F" w:rsidRPr="00FF276E" w:rsidRDefault="00E35FF3">
      <w:pPr>
        <w:jc w:val="both"/>
      </w:pPr>
      <w:r>
        <w:t>Desde la identificación de SARS-CoV-2 en diciembre de 2019, el virus ha experimentado una evolución acelerada impulsada por la presión inmune de millones de huéspedes infectados y vacunados</w:t>
      </w:r>
      <w:hyperlink w:anchor="ref1" w:history="1">
        <w:r>
          <w:rPr>
            <w:rStyle w:val="Hipervnculo"/>
          </w:rPr>
          <w:t>[1]</w:t>
        </w:r>
      </w:hyperlink>
      <w:r>
        <w:t>. Las primeras variantes (Alpha, Beta, Delta) se sucedieron en periodos de 6-9 meses y tenían perfiles mutacionales relativamente simples. La llegada de Omicron (BA.1) en noviembre de 2021 marcó un punto de inflexión: por primera vez una variante acumulaba más de 50 mutaciones respecto a la cepa original</w:t>
      </w:r>
      <w:hyperlink w:anchor="ref2" w:history="1">
        <w:r>
          <w:rPr>
            <w:rStyle w:val="Hipervnculo"/>
          </w:rPr>
          <w:t>[2]</w:t>
        </w:r>
      </w:hyperlink>
      <w:r>
        <w:t>, escapando parcialmente a la inmunidad inducida tanto por infección previa como por vacunación</w:t>
      </w:r>
      <w:hyperlink w:anchor="ref3" w:history="1">
        <w:r>
          <w:rPr>
            <w:rStyle w:val="Hipervnculo"/>
          </w:rPr>
          <w:t>[3]</w:t>
        </w:r>
      </w:hyperlink>
      <w:r>
        <w:t>. A partir de ese momento, el paisaje evolutivo cambió cualitativamente.</w:t>
      </w:r>
    </w:p>
    <w:p w14:paraId="3E7D291D" w14:textId="77777777" w:rsidR="00AE4C5F" w:rsidRPr="00FF276E" w:rsidRDefault="00E35FF3">
      <w:pPr>
        <w:jc w:val="both"/>
      </w:pPr>
      <w:r>
        <w:t>Las subvariantes de Omicron (BA.2, BA.4/5, XBB, EG.5, JN.1, KP, XFG) se han sucedido con una frecuencia de 2-4 meses, manteniendo un proceso de selección positiva intenso (es decir, mutaciones que aumentan la capacidad de transmisión o de escapar a la inmunidad se extienden rápidamente en la población, en lugar de desaparecer por azar) sobre el dominio de unión al receptor (RBD) de la proteína Spike. En la semana de análisis de este trabajo (enero 2026), XFG, un recombinante de KP.1.1 y KP.3.3 detectado por primera vez en Canadá en febrero de 2025, domina globalmente con una frecuencia próxima al 62%, mientras que NB y PQ emergen como desafíos principales. Este ritmo de sustitución implica que los sistemas de vigilancia basados exclusivamente en secuenciación reactiva, que reportan qué variante ya es dominante, son insuficientes para la planificación sanitaria.</w:t>
      </w:r>
    </w:p>
    <w:p w14:paraId="629F09E3" w14:textId="77777777" w:rsidR="00AE4C5F" w:rsidRPr="00FF276E" w:rsidRDefault="00E35FF3">
      <w:pPr>
        <w:jc w:val="both"/>
      </w:pPr>
      <w:r>
        <w:t>El repositorio GISAID (Global Initiative on Sharing All Influenza Data)</w:t>
      </w:r>
      <w:hyperlink w:anchor="ref4" w:history="1">
        <w:r>
          <w:rPr>
            <w:rStyle w:val="Hipervnculo"/>
          </w:rPr>
          <w:t>[4]</w:t>
        </w:r>
      </w:hyperlink>
      <w:hyperlink w:anchor="ref5" w:history="1">
        <w:r>
          <w:rPr>
            <w:rStyle w:val="Hipervnculo"/>
          </w:rPr>
          <w:t>[5]</w:t>
        </w:r>
      </w:hyperlink>
      <w:r>
        <w:t>ha acumulado más de 17 millones de secuencias SARS-CoV-2 con metadatos estructurados de fecha, país y linaje. Este volumen de datos no tiene precedente en la historia de la epidemiología y constituye una oportunidad única para aplicar métodos de aprendizaje automático que aprendan los patrones dinámicos de la evolución viral directamente de los datos, sin necesidad de construir de antemano un modelo explícito de cómo se transmite el virus entre personas o de cómo reacciona el sistema inmunitario ante cada mutación.</w:t>
      </w:r>
    </w:p>
    <w:p w14:paraId="0A4B26D4" w14:textId="77777777" w:rsidR="00AE4C5F" w:rsidRPr="00FF276E" w:rsidRDefault="00E35FF3">
      <w:pPr>
        <w:pStyle w:val="Ttulo2"/>
        <w:rPr>
          <w:color w:val="2E74B5"/>
        </w:rPr>
      </w:pPr>
      <w:bookmarkStart w:id="8" w:name="_Toc234787602"/>
      <w:bookmarkStart w:id="9" w:name="_Toc238464623"/>
      <w:r w:rsidRPr="00FF276E">
        <w:rPr>
          <w:color w:val="2E74B5"/>
        </w:rPr>
        <w:t>1.2. Motivación y problema</w:t>
      </w:r>
      <w:bookmarkEnd w:id="8"/>
      <w:bookmarkEnd w:id="9"/>
    </w:p>
    <w:p w14:paraId="001D52EF" w14:textId="77777777" w:rsidR="00AE4C5F" w:rsidRPr="00FF276E" w:rsidRDefault="00E35FF3">
      <w:pPr>
        <w:jc w:val="both"/>
      </w:pPr>
      <w:r>
        <w:t>El problema central que aborda este TFM es: dada la incidencia del virus en la población en la semana t (frecuencias de variantes, perfiles mutacionales, distribución geográfica), ¿es posible predecir qué variante dominará en las semanas siguientes? La respuesta a esta pregunta tiene aplicaciones directas en:</w:t>
      </w:r>
    </w:p>
    <w:p w14:paraId="00034BFB" w14:textId="77777777" w:rsidR="00AE4C5F" w:rsidRPr="00FF276E" w:rsidRDefault="00E35FF3">
      <w:pPr>
        <w:pStyle w:val="Listaconvietas"/>
        <w:jc w:val="both"/>
      </w:pPr>
      <w:r w:rsidRPr="00FF276E">
        <w:t>Planificación de campañas de vacunación y actualización de la composición vacunal ante la próxima ola.</w:t>
      </w:r>
    </w:p>
    <w:p w14:paraId="198695A8" w14:textId="77777777" w:rsidR="00AE4C5F" w:rsidRPr="00FF276E" w:rsidRDefault="00E35FF3">
      <w:pPr>
        <w:pStyle w:val="Listaconvietas"/>
        <w:jc w:val="both"/>
      </w:pPr>
      <w:r>
        <w:t>Priorización de vigilancia genómica: en qué familias</w:t>
      </w:r>
      <w:r w:rsidR="76739221">
        <w:t xml:space="preserve"> virales (agrupaciones de linajes Pango, 3.2)</w:t>
      </w:r>
      <w:r>
        <w:t xml:space="preserve"> concentrar los recursos limitados de secuenciación.</w:t>
      </w:r>
    </w:p>
    <w:p w14:paraId="5B281C18" w14:textId="77777777" w:rsidR="00AE4C5F" w:rsidRPr="00FF276E" w:rsidRDefault="00E35FF3">
      <w:pPr>
        <w:pStyle w:val="Listaconvietas"/>
        <w:jc w:val="both"/>
      </w:pPr>
      <w:r w:rsidRPr="00FF276E">
        <w:t>Diseño anticipado de ensayos clínicos de antivirales y anticuerpos monoclonales específicos.</w:t>
      </w:r>
    </w:p>
    <w:p w14:paraId="2CCAA2B8" w14:textId="77777777" w:rsidR="00AE4C5F" w:rsidRPr="00FF276E" w:rsidRDefault="00E35FF3">
      <w:pPr>
        <w:pStyle w:val="Listaconvietas"/>
        <w:jc w:val="both"/>
      </w:pPr>
      <w:r w:rsidRPr="00FF276E">
        <w:t>Comunicación de riesgo a la población con suficiente antelación para que los sistemas sanitarios se adapten.</w:t>
      </w:r>
    </w:p>
    <w:p w14:paraId="74D12E7A" w14:textId="77777777" w:rsidR="00AE4C5F" w:rsidRPr="00FF276E" w:rsidRDefault="00E35FF3">
      <w:pPr>
        <w:pStyle w:val="Listaconvietas"/>
        <w:jc w:val="both"/>
      </w:pPr>
      <w:r w:rsidRPr="00FF276E">
        <w:lastRenderedPageBreak/>
        <w:t>Orientación de las decisiones de la OMS y los CDC sobre actualización de las recomendaciones de vacunas.</w:t>
      </w:r>
    </w:p>
    <w:p w14:paraId="17F10305" w14:textId="77777777" w:rsidR="00AE4C5F" w:rsidRPr="00FF276E" w:rsidRDefault="00E35FF3">
      <w:pPr>
        <w:jc w:val="both"/>
      </w:pPr>
      <w:r>
        <w:t xml:space="preserve">La hipótesis biológica central que motivó el diseño del estudio es que los Haplotipos Discordantes de Clado (CDH, Clade-Discordant Haplotypes), variantes minoritarias que presentan combinaciones de mutaciones no observadas aún en la población general </w:t>
      </w:r>
      <w:hyperlink w:anchor="ref6" w:history="1">
        <w:r>
          <w:rPr>
            <w:rStyle w:val="Hipervnculo"/>
          </w:rPr>
          <w:t>[6]</w:t>
        </w:r>
      </w:hyperlink>
      <w:hyperlink w:anchor="ref7" w:history="1">
        <w:r>
          <w:rPr>
            <w:rStyle w:val="Hipervnculo"/>
          </w:rPr>
          <w:t>[7]</w:t>
        </w:r>
      </w:hyperlink>
      <w:hyperlink w:anchor="ref8" w:history="1">
        <w:r>
          <w:rPr>
            <w:rStyle w:val="Hipervnculo"/>
          </w:rPr>
          <w:t>[8]</w:t>
        </w:r>
      </w:hyperlink>
      <w:hyperlink w:anchor="ref9" w:history="1">
        <w:r>
          <w:rPr>
            <w:rStyle w:val="Hipervnculo"/>
          </w:rPr>
          <w:t>[9]</w:t>
        </w:r>
      </w:hyperlink>
      <w:r>
        <w:t xml:space="preserve">, podrían anticipar la dirección de la evolución viral. Aunque </w:t>
      </w:r>
      <w:r w:rsidR="388E073D">
        <w:t xml:space="preserve">como se explicará en la sección 7.6, </w:t>
      </w:r>
      <w:r>
        <w:t>la integración directa de los datos CDH en el modelo predictivo no fue posible por limitaciones de tamaño muestral (28 pacientes), esta hipótesis orientó el diseño del sistema de vigilancia genómica y abre líneas de trabajo futuro de alto interés.</w:t>
      </w:r>
    </w:p>
    <w:p w14:paraId="140DA4AB" w14:textId="77777777" w:rsidR="00AE4C5F" w:rsidRPr="00FF276E" w:rsidRDefault="00E35FF3">
      <w:pPr>
        <w:pStyle w:val="Ttulo2"/>
        <w:rPr>
          <w:color w:val="2E74B5"/>
        </w:rPr>
      </w:pPr>
      <w:bookmarkStart w:id="10" w:name="_Toc234787603"/>
      <w:bookmarkStart w:id="11" w:name="_Toc238464624"/>
      <w:r w:rsidRPr="00FF276E">
        <w:rPr>
          <w:color w:val="2E74B5"/>
        </w:rPr>
        <w:t>1.3. Objetivos</w:t>
      </w:r>
      <w:bookmarkEnd w:id="10"/>
      <w:bookmarkEnd w:id="11"/>
    </w:p>
    <w:p w14:paraId="6A730365" w14:textId="77777777" w:rsidR="00AE4C5F" w:rsidRPr="00FF276E" w:rsidRDefault="00E35FF3">
      <w:pPr>
        <w:jc w:val="both"/>
      </w:pPr>
      <w:r w:rsidRPr="00FF276E">
        <w:t>Los objetivos específicos del trabajo son:</w:t>
      </w:r>
    </w:p>
    <w:p w14:paraId="59561A46" w14:textId="77777777" w:rsidR="00AE4C5F" w:rsidRPr="00002F08" w:rsidRDefault="00E35FF3" w:rsidP="00733C44">
      <w:pPr>
        <w:jc w:val="both"/>
      </w:pPr>
      <w:r>
        <w:t>O1. Construir una cadena de procesamiento automatizada de las más de 17 millones de secuencias GISAID mediante flujo continuo eficiente, generando matrices de frecuencia temporal y mutacional que representen de forma estructurada la incidencia del virus en la población a lo largo del tiempo.</w:t>
      </w:r>
    </w:p>
    <w:p w14:paraId="573ACE70" w14:textId="77777777" w:rsidR="00AE4C5F" w:rsidRPr="00002F08" w:rsidRDefault="00E35FF3" w:rsidP="00733C44">
      <w:pPr>
        <w:jc w:val="both"/>
      </w:pPr>
      <w:r>
        <w:t>O2. Diseñar e implementar una ingeniería de características que capture tanto la dinámica temporal de cada familia Pango (agrupación de linajes virales emparentados según su nomenclatura oficial, ver 3.2) mediante 15 características de crecimiento, como su perfil biológico (6 características moleculares) y, opcionalmente, las frecuencias de mutaciones específicas de las proteínas Spike y NSP12 (30 características adicionales; Spike es la proteína de superficie que el virus usa para entrar en la célula, y NSP12 es la enzima que replica su genoma, ver 3.1).</w:t>
      </w:r>
    </w:p>
    <w:p w14:paraId="060E84D2" w14:textId="77777777" w:rsidR="00AE4C5F" w:rsidRPr="00002F08" w:rsidRDefault="00E35FF3" w:rsidP="00733C44">
      <w:pPr>
        <w:jc w:val="both"/>
      </w:pPr>
      <w:r>
        <w:t>O3. Entrenar y validar un clasificador LightGBM para la predicción de crecimiento a varias semanas vista, con validación progresiva por épocas pandémicas libre de filtraciones de datos: se corrigen explícitamente dos fuentes de fuga de información identificadas en versiones previas de este proyecto, el uso indebido del conjunto de test como conjunto de validación para el early stopping (detalle en 4.3), y la falta de censura temporal en las etiquetas, es decir, que la etiqueta de entrenamiento no debe incorporar información posterior al momento en que se hace la predicción (detalle en 4.3).</w:t>
      </w:r>
    </w:p>
    <w:p w14:paraId="760A0F81" w14:textId="77777777" w:rsidR="00AE4C5F" w:rsidRPr="00002F08" w:rsidRDefault="00E35FF3" w:rsidP="00733C44">
      <w:pPr>
        <w:jc w:val="both"/>
      </w:pPr>
      <w:r>
        <w:t>O4. Construir un modelo de supervivencia Cox PH (un modelo estadístico que estima cuánto tiempo tarda en ocurrir un evento, aquí alcanzar la dominancia) para estimar el tiempo hasta dominancia global (≥10% de frecuencia para familias, ≥30% para mutaciones), tanto para familias Pango como para mutaciones individuales de Spike y NSP12, e interpretar los hazard ratios (el cociente de riesgo que asigna el modelo a cada variable: un valor mayor que 1 indica que esa variable acelera la llegada a la dominancia) en términos biológicos.</w:t>
      </w:r>
    </w:p>
    <w:p w14:paraId="7B01AFEF" w14:textId="77777777" w:rsidR="00AE4C5F" w:rsidRPr="00002F08" w:rsidRDefault="00E35FF3" w:rsidP="00733C44">
      <w:pPr>
        <w:jc w:val="both"/>
      </w:pPr>
      <w:r>
        <w:t>O5. Integrar ambas capas en una señal de alerta temprana y en una proyección semanal de frecuencias futuras (7.5) en la que la tasa de crecimiento de cada variante candidata se ajusta según la probabilidad de emergencia que le asigna LightGBM, generando proyecciones interpretables y biológicamente coherentes.</w:t>
      </w:r>
    </w:p>
    <w:p w14:paraId="0AC76F92" w14:textId="77777777" w:rsidR="00AE4C5F" w:rsidRPr="00002F08" w:rsidRDefault="00E35FF3" w:rsidP="00733C44">
      <w:pPr>
        <w:jc w:val="both"/>
      </w:pPr>
      <w:r w:rsidRPr="00002F08">
        <w:lastRenderedPageBreak/>
        <w:t>O6. Validar el sistema prospectivamente frente a datos reales disponibles a junio de 2026, cuantificando los aciertos, fallos parciales y fallos totales del sistema, e identificando sus límites estructurales.</w:t>
      </w:r>
    </w:p>
    <w:p w14:paraId="200FDE60" w14:textId="77777777" w:rsidR="00AE4C5F" w:rsidRPr="00FF276E" w:rsidRDefault="00E35FF3">
      <w:pPr>
        <w:pStyle w:val="Ttulo2"/>
        <w:rPr>
          <w:color w:val="2E74B5"/>
        </w:rPr>
      </w:pPr>
      <w:bookmarkStart w:id="12" w:name="_Toc234787604"/>
      <w:bookmarkStart w:id="13" w:name="_Toc238464625"/>
      <w:r w:rsidRPr="00FF276E">
        <w:rPr>
          <w:color w:val="2E74B5"/>
        </w:rPr>
        <w:t>1.4. Estructura del documento</w:t>
      </w:r>
      <w:bookmarkEnd w:id="12"/>
      <w:bookmarkEnd w:id="13"/>
    </w:p>
    <w:p w14:paraId="1BD2D468" w14:textId="77777777" w:rsidR="00AE4C5F" w:rsidRPr="00FF276E" w:rsidRDefault="00E35FF3" w:rsidP="1A1DBA1C">
      <w:pPr>
        <w:jc w:val="both"/>
      </w:pPr>
      <w:r>
        <w:t>El documento se organiza en nueve capítulos. El capítulo 2 revisa el estado del arte: qué se ha intentado antes para predecir la evolución de virus de ARN de evolución rápida, tanto con modelos de aprendizaje automático como con análisis de supervivencia, y qué evidencia previa sostiene la hipótesis biológica de este trabajo. El capítulo 3 establece el marco teórico biológico, incluyendo la estructura de SARS-CoV-2, la nomenclatura Pango y los mecanismos de escape inmune relevantes para interpretar los resultados. El capítulo 4 presenta los fundamentos metodológicos propios de este trabajo: la formulación del problema como clasificación binaria, la configuración concreta de LightGBM y de Cox PH, y la validación progresiva en series temporales. El capítulo 5 describe los datos de GISAID y la cadena de procesamiento. El capítulo 6 detalla la ingeniería de características en sus tres capas. El capítulo 7 presenta los resultados, incluyendo el análisis exploratorio, los modelos de predicción, el análisis de supervivencia, la proyección forward, y la validación del sistema tanto interna (validación progresiva, backtesting) como externa (junio 2026). El capítulo 8 discute las implicaciones técnicas y biológicas y las limitaciones del trabajo. El capítulo 9 cierra con las conclusiones técnicas y biológicas y las líneas de trabajo futuro.</w:t>
      </w:r>
    </w:p>
    <w:p w14:paraId="022B50DC" w14:textId="77777777" w:rsidR="00AE4C5F" w:rsidRPr="00FF276E" w:rsidRDefault="00E35FF3">
      <w:pPr>
        <w:jc w:val="both"/>
      </w:pPr>
      <w:r w:rsidRPr="00FF276E">
        <w:br w:type="page"/>
      </w:r>
    </w:p>
    <w:p w14:paraId="52C9A871" w14:textId="77777777" w:rsidR="009D554C" w:rsidRDefault="00000000">
      <w:pPr>
        <w:pStyle w:val="Ttulo1"/>
      </w:pPr>
      <w:bookmarkStart w:id="14" w:name="_Toc238464626"/>
      <w:r>
        <w:lastRenderedPageBreak/>
        <w:t>2. Estado del Arte</w:t>
      </w:r>
      <w:bookmarkEnd w:id="14"/>
    </w:p>
    <w:p w14:paraId="1D4FCA73" w14:textId="77777777" w:rsidR="009D554C" w:rsidRDefault="00000000">
      <w:pPr>
        <w:jc w:val="both"/>
      </w:pPr>
      <w:r>
        <w:t>Antes de describir el sistema desarrollado en este trabajo conviene situarlo frente a lo que ya se ha intentado. Esta sección revisa, en cinco bloques, los antecedentes más relevantes: los métodos computacionales que ya han intentado predecir qué va a pasar con la evolución de un virus de ARN, los sistemas operativos de vigilancia genómica en producción, los fundamentos y precedentes de los dos algoritmos usados en este trabajo (gradient boosting y el modelo de Cox), y la evidencia previa sobre la hipótesis biológica que motiva el proyecto: que la diversidad genética dentro de un mismo paciente puede anticipar qué mutaciones triunfarán después en la población.</w:t>
      </w:r>
    </w:p>
    <w:p w14:paraId="19166EA1" w14:textId="77777777" w:rsidR="009D554C" w:rsidRDefault="00000000">
      <w:pPr>
        <w:pStyle w:val="Ttulo2"/>
      </w:pPr>
      <w:bookmarkStart w:id="15" w:name="_Toc238464627"/>
      <w:r>
        <w:t>2.1. Predicción computacional de la evolución y la eficacia biológica viral</w:t>
      </w:r>
      <w:bookmarkEnd w:id="15"/>
    </w:p>
    <w:p w14:paraId="0C9EC998" w14:textId="77777777" w:rsidR="009D554C" w:rsidRDefault="00000000">
      <w:pPr>
        <w:jc w:val="both"/>
      </w:pPr>
      <w:r>
        <w:t>La idea de anticipar qué mutaciones o linajes de SARS-CoV-2 van a tener éxito no es nueva: en los últimos años ha aparecido un número creciente de trabajos que abordan el problema desde ángulos muy distintos. Obermeyer et al.</w:t>
      </w:r>
      <w:hyperlink w:anchor="ref10" w:history="1">
        <w:r w:rsidR="009D554C">
          <w:rPr>
            <w:rStyle w:val="Hipervnculo"/>
          </w:rPr>
          <w:t>[10]</w:t>
        </w:r>
      </w:hyperlink>
      <w:r>
        <w:t>estimaron directamente la eficacia biológica relativa de cada mutación a partir de 6,4 millones de genomas mediante un modelo de regresión. Thadani et al.</w:t>
      </w:r>
      <w:hyperlink w:anchor="ref11" w:history="1">
        <w:r w:rsidR="009D554C">
          <w:rPr>
            <w:rStyle w:val="Hipervnculo"/>
          </w:rPr>
          <w:t>[11]</w:t>
        </w:r>
      </w:hyperlink>
      <w:r>
        <w:t>entrenaron un modelo de lenguaje sobre secuencias virales previas a la pandemia (sin ver ni un solo genoma de SARS-CoV-2) y demostraron que aun así predecía qué mutaciones de escape inmune emergerían después, una validación temporal muy próxima en espíritu a la validación progresiva de este trabajo (3.4).</w:t>
      </w:r>
    </w:p>
    <w:p w14:paraId="42A87B0D" w14:textId="77777777" w:rsidR="009D554C" w:rsidRDefault="00000000">
      <w:pPr>
        <w:jc w:val="both"/>
      </w:pPr>
      <w:r>
        <w:t>Otro grupo de trabajos usa modelos generativos de secuencias: Ramachandran et al.</w:t>
      </w:r>
      <w:hyperlink w:anchor="ref12" w:history="1">
        <w:r w:rsidR="009D554C">
          <w:rPr>
            <w:rStyle w:val="Hipervnculo"/>
          </w:rPr>
          <w:t>[12]</w:t>
        </w:r>
      </w:hyperlink>
      <w:r>
        <w:t>(PandoGen) y Marathe et al.</w:t>
      </w:r>
      <w:hyperlink w:anchor="ref13" w:history="1">
        <w:r w:rsidR="009D554C">
          <w:rPr>
            <w:rStyle w:val="Hipervnculo"/>
          </w:rPr>
          <w:t>[13]</w:t>
        </w:r>
      </w:hyperlink>
      <w:r>
        <w:t>(VirusT5, basado en un modelo de lenguaje de gran tamaño) generan directamente secuencias completas plausibles de variantes futuras, en vez de clasificar variantes ya observadas. Dhodapkar</w:t>
      </w:r>
      <w:hyperlink w:anchor="ref14" w:history="1">
        <w:r w:rsidR="009D554C">
          <w:rPr>
            <w:rStyle w:val="Hipervnculo"/>
          </w:rPr>
          <w:t>[14]</w:t>
        </w:r>
      </w:hyperlink>
      <w:r>
        <w:t>sigue una idea similar con un modelo de lenguaje de proteínas (SpikeGPT2) entrenado solo con secuencias de Spike anteriores a mayo de 2021. Han et al.</w:t>
      </w:r>
      <w:hyperlink w:anchor="ref15" w:history="1">
        <w:r w:rsidR="009D554C">
          <w:rPr>
            <w:rStyle w:val="Hipervnculo"/>
          </w:rPr>
          <w:t>[15]</w:t>
        </w:r>
      </w:hyperlink>
      <w:r>
        <w:t>y Dadonaite et al.</w:t>
      </w:r>
      <w:hyperlink w:anchor="ref16" w:history="1">
        <w:r w:rsidR="009D554C">
          <w:rPr>
            <w:rStyle w:val="Hipervnculo"/>
          </w:rPr>
          <w:t>[16]</w:t>
        </w:r>
      </w:hyperlink>
      <w:r>
        <w:t>, en cambio, se centran en la evolución antigénica y en el escape de anticuerpos: el primero con deep learning sobre datos de neutralización, el segundo combinando deep mutational scanning experimental de Spike con datos poblacionales para predecir qué clados tendrán éxito.</w:t>
      </w:r>
    </w:p>
    <w:p w14:paraId="5485695A" w14:textId="77777777" w:rsidR="009D554C" w:rsidRDefault="00000000">
      <w:pPr>
        <w:jc w:val="both"/>
      </w:pPr>
      <w:r>
        <w:t>El trabajo más parecido a este TFM en escala de datos y en el propio concepto de "umbral de dominancia" es el de Rancati et al.</w:t>
      </w:r>
      <w:hyperlink w:anchor="ref17" w:history="1">
        <w:r w:rsidR="009D554C">
          <w:rPr>
            <w:rStyle w:val="Hipervnculo"/>
          </w:rPr>
          <w:t>[17]</w:t>
        </w:r>
      </w:hyperlink>
      <w:r>
        <w:t xml:space="preserve"> (DeepAutoCoV): usan más de 16 millones de secuencias de Spike de GISAID (una cifra casi idéntica a los ~17 millones de este trabajo) y entrenan un autoencoder no supervisado que detecta como anomalía cualquier linaje que se aleje del patrón habitual, con 4 a 17 semanas de aviso. La diferencia de fondo es metodológica: DeepAutoCoV detecta anomalías sin supervisión, mientras que este trabajo entrena un clasificador supervisado (LightGBM), lo que a cambio de necesitar datos etiquetados permite interpretar qué variables empujan la predicción (2.3, y capítulo de Resultados). Agarwal et al. </w:t>
      </w:r>
      <w:hyperlink w:anchor="ref18" w:history="1">
        <w:r w:rsidR="009D554C">
          <w:rPr>
            <w:rStyle w:val="Hipervnculo"/>
          </w:rPr>
          <w:t>[18]</w:t>
        </w:r>
      </w:hyperlink>
      <w:r>
        <w:t xml:space="preserve">plantean el mismo problema para la gripe estacional (FluEvoFormer): un modelo generativo que </w:t>
      </w:r>
      <w:r>
        <w:t>integra secuencia y estructura de las proteínas de superficie para anticipar la cepa de vacuna de la temporada siguiente, mostrando que el problema no es exclusivo de SARS-CoV-2.</w:t>
      </w:r>
    </w:p>
    <w:p w14:paraId="1D27946A" w14:textId="77777777" w:rsidR="009D554C" w:rsidRDefault="00000000">
      <w:pPr>
        <w:pStyle w:val="Ttulo2"/>
      </w:pPr>
      <w:bookmarkStart w:id="16" w:name="_Toc238464628"/>
      <w:r>
        <w:t>2.2. Sistemas de vigilancia genómica operativos</w:t>
      </w:r>
      <w:bookmarkEnd w:id="16"/>
    </w:p>
    <w:p w14:paraId="12755D82" w14:textId="77777777" w:rsidR="009D554C" w:rsidRDefault="00000000">
      <w:pPr>
        <w:jc w:val="both"/>
      </w:pPr>
      <w:r>
        <w:t>Más allá de los modelos publicados como prueba de concepto, existen ya varios sistemas pensados para funcionar de forma continua sobre datos de vigilancia real. Levi et al.</w:t>
      </w:r>
      <w:hyperlink w:anchor="ref19" w:history="1">
        <w:r w:rsidR="009D554C">
          <w:rPr>
            <w:rStyle w:val="Hipervnculo"/>
          </w:rPr>
          <w:t>[19]</w:t>
        </w:r>
      </w:hyperlink>
      <w:r>
        <w:t>entrenan un modelo de gradient boosting sobre 9 millones de secuencias de 30 países para predecir si una variante recién detectada va a provocar una ola significativa de contagios; reportan un AUC de 86,3% a una semana vista y de 90,8% a dos semanas, cifras del mismo orden que las de este trabajo (capítulo de Resultados) aunque sobre una tarea distinta (número de casos, no dominancia relativa del linaje).</w:t>
      </w:r>
    </w:p>
    <w:p w14:paraId="3B910424" w14:textId="77777777" w:rsidR="009D554C" w:rsidRDefault="00000000">
      <w:pPr>
        <w:jc w:val="both"/>
      </w:pPr>
      <w:r>
        <w:t>Li et al.</w:t>
      </w:r>
      <w:hyperlink w:anchor="ref20" w:history="1">
        <w:r w:rsidR="009D554C">
          <w:rPr>
            <w:rStyle w:val="Hipervnculo"/>
          </w:rPr>
          <w:t>[20]</w:t>
        </w:r>
      </w:hyperlink>
      <w:r>
        <w:t xml:space="preserve"> (HiRisk-Detector) comparan explícitamente varios algoritmos, entre ellos LightGBM y regresión logística, antes de elegir un random forest sobre 7,6 millones de genomas, anticipando en promedio 27 días las designaciones oficiales de la OMS; es uno de los pocos precedentes que documenta esa comparación de algoritmos de forma explícita, en la línea de lo que este TFM reporta en 4.4.1. Kirschbaum et al. </w:t>
      </w:r>
      <w:hyperlink w:anchor="ref21" w:history="1">
        <w:r w:rsidR="009D554C">
          <w:rPr>
            <w:rStyle w:val="Hipervnculo"/>
          </w:rPr>
          <w:t>[21]</w:t>
        </w:r>
      </w:hyperlink>
      <w:r>
        <w:t>(VirusWarn) combinan reglas curadas a mano con varios clasificadores simples para priorizar mutaciones concretas de riesgo tanto en SARS-CoV-2 como en gripe, y Norwood et al.</w:t>
      </w:r>
      <w:hyperlink w:anchor="ref22" w:history="1">
        <w:r w:rsidR="009D554C">
          <w:rPr>
            <w:rStyle w:val="Hipervnculo"/>
          </w:rPr>
          <w:t>[22]</w:t>
        </w:r>
      </w:hyperlink>
      <w:r>
        <w:t>(CoVerage) mantienen un sistema en producción (sarscoverage.org) que combina la dinámica de frecuencia por país con caracterización antigénica automática, con un adelanto medio de casi tres meses respecto a las designaciones de variante de interés de la OMS. Ninguno de estos sistemas incorpora, como este TFM, un componente de supervivencia (2.4) para estimar cuánto tiempo falta hasta la dominancia una vez detectada la señal de alerta.</w:t>
      </w:r>
    </w:p>
    <w:p w14:paraId="4558B098" w14:textId="77777777" w:rsidR="009D554C" w:rsidRDefault="00000000">
      <w:pPr>
        <w:pStyle w:val="Ttulo2"/>
      </w:pPr>
      <w:bookmarkStart w:id="17" w:name="_Toc238464629"/>
      <w:r>
        <w:t>2.3. Gradient boosting: fundamentos y precedentes en genómica</w:t>
      </w:r>
      <w:bookmarkEnd w:id="17"/>
    </w:p>
    <w:p w14:paraId="767B970D" w14:textId="77777777" w:rsidR="009D554C" w:rsidRDefault="00000000">
      <w:pPr>
        <w:jc w:val="both"/>
      </w:pPr>
      <w:r>
        <w:t>LightGBM (Light Gradient Boosting Machine)</w:t>
      </w:r>
      <w:hyperlink w:anchor="ref23" w:history="1">
        <w:r w:rsidR="009D554C">
          <w:rPr>
            <w:rStyle w:val="Hipervnculo"/>
          </w:rPr>
          <w:t>[23]</w:t>
        </w:r>
      </w:hyperlink>
      <w:r>
        <w:t>es un algoritmo de conjunto basado en árboles de decisión que construye secuencialmente árboles, cada uno de los cuales corrige los errores del conjunto anterior. A diferencia de otras implementaciones de gradient boosting como XGBoost, LightGBM crece los árboles hoja a hoja (elige en cada paso el nodo con mayor ganancia de información, en vez de expandir nivel a nivel), lo que produce árboles más profundos y precisos con el mismo número de hojas. Incorpora además dos optimizaciones propias: Gradient-based One-Side Sampling (GOSS), que reduce cuántos ejemplos hace falta usar en cada árbol sin perder información relevante, y Exclusive Feature Bundling (EFB), que agrupa variables que casi nunca toman valores distintos de cero a la vez. El resultado final no es una única regla de decisión, sino un conjunto de árboles (cada uno con muchas hojas, es decir, muchas reglas) cuyas predicciones se suman con un peso; cuantos más árboles, más fina es la frontera de decisión que el modelo puede aprender.</w:t>
      </w:r>
    </w:p>
    <w:p w14:paraId="7E5EB3C6" w14:textId="77777777" w:rsidR="009D554C" w:rsidRDefault="00000000">
      <w:pPr>
        <w:jc w:val="both"/>
      </w:pPr>
      <w:r>
        <w:t>Aplicar gradient boosting a datos genómicos tabulares dispersos y con fuerte desbalance de clases, como los de este TFM, tiene precedente directo en la literatura. Miao et al.</w:t>
      </w:r>
      <w:hyperlink w:anchor="ref24" w:history="1">
        <w:r w:rsidR="009D554C">
          <w:rPr>
            <w:rStyle w:val="Hipervnculo"/>
          </w:rPr>
          <w:t>[24]</w:t>
        </w:r>
      </w:hyperlink>
      <w:r>
        <w:t xml:space="preserve">usan un conjunto de </w:t>
      </w:r>
      <w:r>
        <w:lastRenderedPageBreak/>
        <w:t>modelos CatBoost (gradient boosting) y random forest para clasificar genomas completos de SARS-CoV-2 en clados y linajes a partir de miles de posiciones mutadas codificadas en one-hot, con downsampling explícito para compensar el desbalance entre linajes minoritarios y mayoritarios. En genómica clínica humana, Zhang et al.</w:t>
      </w:r>
      <w:hyperlink w:anchor="ref25" w:history="1">
        <w:r w:rsidR="009D554C">
          <w:rPr>
            <w:rStyle w:val="Hipervnculo"/>
          </w:rPr>
          <w:t>[25]</w:t>
        </w:r>
      </w:hyperlink>
      <w:r>
        <w:t>(X-CNV) y Dehghan Tezerjani et al.</w:t>
      </w:r>
      <w:hyperlink w:anchor="ref26" w:history="1">
        <w:r w:rsidR="009D554C">
          <w:rPr>
            <w:rStyle w:val="Hipervnculo"/>
          </w:rPr>
          <w:t>[26]</w:t>
        </w:r>
      </w:hyperlink>
      <w:r>
        <w:t xml:space="preserve"> (MetaXVP) entrenan XGBoost sobre decenas de características genéticas dispersas para predecir si una variante es patogénica, el segundo añadiendo SHAP y LIME para interpretabilidad exactamente en la línea de lo que este TFM hace en el capítulo de Resultados; Pellegrino et al. </w:t>
      </w:r>
      <w:hyperlink w:anchor="ref27" w:history="1">
        <w:r w:rsidR="009D554C">
          <w:rPr>
            <w:rStyle w:val="Hipervnculo"/>
          </w:rPr>
          <w:t>[27]</w:t>
        </w:r>
      </w:hyperlink>
      <w:r>
        <w:t>aplican el mismo enfoque (XGBoost, con los hiperparámetros ajustados mediante un algoritmo metaheurístico) a la clasificación de variantes somáticas oncológicas detectadas por secuenciación masiva. Ninguno de estos trabajos aborda evolución viral, pero todos comparten con este TFM el mismo problema de fondo: aprender de datos genómicos tabulares, dispersos y desbalanceados, algo para lo que el gradient boosting basado en árboles está particularmente bien adaptado frente a alternativas lineales. Este TFM lo confirma empíricamente: compara LightGBM con regresión logística, random forest y gradient boosting genérico sobre los mismos cuatro conjuntos de datos, encontrando que LightGBM es el algoritmo más consistente en los tres niveles de granularidad del sistema (es decir, en las tres formas de agrupar los datos que usa este TFM: por clado, por familia Pango o por mutación individual, 4.1), aunque no siempre el que gana de media (4.4.1).</w:t>
      </w:r>
    </w:p>
    <w:p w14:paraId="12239C0F" w14:textId="77777777" w:rsidR="009D554C" w:rsidRDefault="00000000">
      <w:pPr>
        <w:pStyle w:val="Ttulo2"/>
      </w:pPr>
      <w:bookmarkStart w:id="18" w:name="_Toc238464630"/>
      <w:r>
        <w:t>2.4. Análisis de supervivencia: fundamentos y aplicaciones a la evolución de patógenos</w:t>
      </w:r>
      <w:bookmarkEnd w:id="18"/>
    </w:p>
    <w:p w14:paraId="7B2698ED" w14:textId="77777777" w:rsidR="009D554C" w:rsidRDefault="00000000">
      <w:pPr>
        <w:jc w:val="both"/>
      </w:pPr>
      <w:r>
        <w:t>El modelo de Cox de riesgos proporcionales</w:t>
      </w:r>
      <w:hyperlink w:anchor="ref28" w:history="1">
        <w:r w:rsidR="009D554C">
          <w:rPr>
            <w:rStyle w:val="Hipervnculo"/>
          </w:rPr>
          <w:t>[28]</w:t>
        </w:r>
      </w:hyperlink>
      <w:r>
        <w:t>es el estándar en bioestadística para analizar el tiempo hasta un evento (supervivencia, tiempo hasta fallo, en este trabajo tiempo hasta dominancia). Modela el riesgo instantáneo de que el evento ocurra en el momento t, dado que no ha ocurrido antes, en función de las covariables X del individuo:</w:t>
      </w:r>
    </w:p>
    <w:p w14:paraId="12C5C61E" w14:textId="77777777" w:rsidR="009D554C" w:rsidRDefault="00000000">
      <w:pPr>
        <w:jc w:val="both"/>
      </w:pPr>
      <w:r>
        <w:t>h(t | X) = h₀(t) · exp(β₁X₁ + β₂X₂ + ... + βₖXₖ)</w:t>
      </w:r>
    </w:p>
    <w:p w14:paraId="484E36DA" w14:textId="77777777" w:rsidR="009D554C" w:rsidRDefault="00000000">
      <w:pPr>
        <w:jc w:val="both"/>
      </w:pPr>
      <w:r>
        <w:t>donde h₀(t) es el riesgo basal (común a todos los individuos, sin necesidad de asumir una forma paramétrica concreta) y exp(βⱼ) es el Hazard Ratio (HR) de la covariable Xⱼ: un HR mayor que 1 indica que valores altos de esa variable están asociados a que el evento ocurra antes.</w:t>
      </w:r>
    </w:p>
    <w:p w14:paraId="0B36EF74" w14:textId="77777777" w:rsidR="009D554C" w:rsidRDefault="00000000">
      <w:pPr>
        <w:jc w:val="both"/>
      </w:pPr>
      <w:r>
        <w:t>Aplicar un modelo de Cox al tiempo hasta que una mutación o linaje domina una población, en vez de a la supervivencia de un paciente, tiene precedente en otros patógenos de evolución rápida. El paralelo más directo es el de Lawyer et al.</w:t>
      </w:r>
      <w:hyperlink w:anchor="ref29" w:history="1">
        <w:r w:rsidR="009D554C">
          <w:rPr>
            <w:rStyle w:val="Hipervnculo"/>
          </w:rPr>
          <w:t>[29]</w:t>
        </w:r>
      </w:hyperlink>
      <w:r>
        <w:t xml:space="preserve">, que ajustan un modelo de Cox independiente para cada posición del genoma de VIH-1, modelando el riesgo de que esa posición mute durante la terapia antirretroviral </w:t>
      </w:r>
      <w:r>
        <w:lastRenderedPageBreak/>
        <w:t>en función de qué otras mutaciones de resistencia estaban ya presentes al empezar el tratamiento, sobre una base de casi 1.500 pacientes. Koelle et al.</w:t>
      </w:r>
      <w:hyperlink w:anchor="ref30" w:history="1">
        <w:r w:rsidR="009D554C">
          <w:rPr>
            <w:rStyle w:val="Hipervnculo"/>
          </w:rPr>
          <w:t>[30]</w:t>
        </w:r>
      </w:hyperlink>
      <w:r>
        <w:t>proponen, para la gripe estacional, un modelo de riesgo (hazard) con forma Weibull para el tiempo entre la aparición de un clúster antigénico dominante y el siguiente. Más recientemente, Hayashi et al.</w:t>
      </w:r>
      <w:hyperlink w:anchor="ref31" w:history="1">
        <w:r w:rsidR="009D554C">
          <w:rPr>
            <w:rStyle w:val="Hipervnculo"/>
          </w:rPr>
          <w:t>[31]</w:t>
        </w:r>
      </w:hyperlink>
      <w:r>
        <w:t>aplican directamente un marco de tiempo-hasta-evento a SARS-CoV-2 para estimar la tasa de aparición de mutantes muy divergentes ("eventos tipo Ómicron"), comparando varios modelos de riesgo mediante criterios de información. Awasthi et al.</w:t>
      </w:r>
      <w:hyperlink w:anchor="ref32" w:history="1">
        <w:r w:rsidR="009D554C">
          <w:rPr>
            <w:rStyle w:val="Hipervnculo"/>
          </w:rPr>
          <w:t>[32]</w:t>
        </w:r>
      </w:hyperlink>
      <w:r>
        <w:t>abordan un problema con el nombre casi idéntico al de este TFM ("time to dominance" de variantes de SARS-CoV-2) pero con una metodología distinta: ajustan curvas de crecimiento logístico, Weibull y aditivas generalizadas sobre la proporción de la variante en el tiempo, sin usar un marco de riesgos ni de censura; es la referencia más cercana en objetivo y más alejada en método, lo que subraya que el enfoque de supervivencia de este TFM no es la única forma de estimar un "tiempo hasta dominar", pero sí la única de las citadas que modela explícitamente el riesgo instantáneo y admite censura.</w:t>
      </w:r>
    </w:p>
    <w:p w14:paraId="558CDA61" w14:textId="77777777" w:rsidR="009D554C" w:rsidRDefault="00000000">
      <w:pPr>
        <w:pStyle w:val="Ttulo2"/>
      </w:pPr>
      <w:bookmarkStart w:id="19" w:name="_Toc238464631"/>
      <w:r>
        <w:t>2.5. Haplotipos minoritarios y diversidad intrahospedador como anticipo de la evolución poblacional</w:t>
      </w:r>
      <w:bookmarkEnd w:id="19"/>
    </w:p>
    <w:p w14:paraId="17A29FA5" w14:textId="77777777" w:rsidR="009D554C" w:rsidRDefault="00000000">
      <w:pPr>
        <w:jc w:val="both"/>
      </w:pPr>
      <w:r>
        <w:t>La hipótesis biológica que motiva este trabajo (validada en el capítulo de Resultados con datos reales de secuenciación ultra-profunda, CDH) es que la diversidad genética que existe dentro de un mismo paciente infectado, es decir, los haplotipos minoritarios o variantes de baja frecuencia que coexisten con la secuencia dominante y que solo son visibles con una profundidad de secuenciación muy alta, puede anticipar qué mutaciones tendrán éxito después a nivel poblacional. Esta idea tiene una base empírica sólida, construida principalmente a partir de casos clínicos y de cohortes de tamaño moderado.</w:t>
      </w:r>
    </w:p>
    <w:p w14:paraId="54D33FB4" w14:textId="77777777" w:rsidR="009D554C" w:rsidRDefault="00000000">
      <w:pPr>
        <w:jc w:val="both"/>
      </w:pPr>
      <w:r>
        <w:t>Los casos más citados en la literatura son de pacientes inmunocomprometidos con infección crónica, en los que la secuenciación longitudinal permitió observar en directo cómo mutaciones de Spike surgían dentro del hospedador y, meses después, aparecían como mutaciones definitorias de variantes de preocupación a nivel mundial. Choi et al.</w:t>
      </w:r>
      <w:hyperlink w:anchor="ref33" w:history="1">
        <w:r w:rsidR="009D554C">
          <w:rPr>
            <w:rStyle w:val="Hipervnculo"/>
          </w:rPr>
          <w:t>[33]</w:t>
        </w:r>
      </w:hyperlink>
      <w:r>
        <w:t>documentaron el primero de estos casos; Kemp et al.</w:t>
      </w:r>
      <w:hyperlink w:anchor="ref34" w:history="1">
        <w:r w:rsidR="009D554C">
          <w:rPr>
            <w:rStyle w:val="Hipervnculo"/>
          </w:rPr>
          <w:t>[34]</w:t>
        </w:r>
      </w:hyperlink>
      <w:r>
        <w:t>mostraron cómo un tratamiento con plasma convaleciente seleccionaba dentro del hospedador mutaciones de Spike que después se observarían en la variante Alpha. A escala de cohorte, Lythgoe et al.</w:t>
      </w:r>
      <w:hyperlink w:anchor="ref35" w:history="1">
        <w:r w:rsidR="009D554C">
          <w:rPr>
            <w:rStyle w:val="Hipervnculo"/>
          </w:rPr>
          <w:t>[35]</w:t>
        </w:r>
      </w:hyperlink>
      <w:r>
        <w:t>secuenciaron en profundidad más de mil muestras clínicas del Reino Unido y encontraron que la mayoría de hospedadores tiene muy poca diversidad interna, pero que una minoría con diversidad elevada podría originar variantes con ventaja de transmisión; Valesano et al.</w:t>
      </w:r>
      <w:hyperlink w:anchor="ref36" w:history="1">
        <w:r w:rsidR="009D554C">
          <w:rPr>
            <w:rStyle w:val="Hipervnculo"/>
          </w:rPr>
          <w:t>[36]</w:t>
        </w:r>
      </w:hyperlink>
      <w:r>
        <w:t>llegan a una conclusión compatible en una cohorte distinta, documentando también evolución convergente entre hospedadores. En un virus de ARN distinto, McCrone et al.</w:t>
      </w:r>
      <w:hyperlink w:anchor="ref37" w:history="1">
        <w:r w:rsidR="009D554C">
          <w:rPr>
            <w:rStyle w:val="Hipervnculo"/>
          </w:rPr>
          <w:t>[37]</w:t>
        </w:r>
      </w:hyperlink>
      <w:r>
        <w:t xml:space="preserve">estudian la gripe estacional y matizan la hipótesis: encuentran que los procesos estocásticos (deriva genética, cuellos de botella de transmisión) </w:t>
      </w:r>
      <w:r>
        <w:lastRenderedPageBreak/>
        <w:t>dominan sobre la selección direccional, por lo que la relación entre diversidad intrahospedador y éxito poblacional no es automática ni garantizada.</w:t>
      </w:r>
    </w:p>
    <w:p w14:paraId="473FB029" w14:textId="77777777" w:rsidR="009D554C" w:rsidRDefault="00000000">
      <w:pPr>
        <w:jc w:val="both"/>
      </w:pPr>
      <w:r>
        <w:t>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de Ávila et al.</w:t>
      </w:r>
      <w:hyperlink w:anchor="ref6" w:history="1">
        <w:r w:rsidR="009D554C">
          <w:rPr>
            <w:rStyle w:val="Hipervnculo"/>
          </w:rPr>
          <w:t>[6]</w:t>
        </w:r>
      </w:hyperlink>
      <w:r>
        <w:t>muestran que los clones biológicos de SARS-CoV-2 son genéticamente heterogéneos, incluyendo posiciones discordantes con el clado consenso asignado. Martínez-González et al.</w:t>
      </w:r>
      <w:hyperlink w:anchor="ref7" w:history="1">
        <w:r w:rsidR="009D554C">
          <w:rPr>
            <w:rStyle w:val="Hipervnculo"/>
          </w:rPr>
          <w:t>[7]</w:t>
        </w:r>
      </w:hyperlink>
      <w:r>
        <w:t>caracterizan el espectro de mutantes a distintos niveles de profundidad de secuenciación, encontrando una abundancia desproporcionada de mutaciones de baja frecuencia; en un trabajo relacionado, el mismo grupo</w:t>
      </w:r>
      <w:hyperlink w:anchor="ref8" w:history="1">
        <w:r w:rsidR="009D554C">
          <w:rPr>
            <w:rStyle w:val="Hipervnculo"/>
          </w:rPr>
          <w:t>[8]</w:t>
        </w:r>
      </w:hyperlink>
      <w:r>
        <w:t>relaciona ese espectro de mutaciones puntuales y deleciones con distintos desenlaces clínicos. Delgado et al.</w:t>
      </w:r>
      <w:hyperlink w:anchor="ref9" w:history="1">
        <w:r w:rsidR="009D554C">
          <w:rPr>
            <w:rStyle w:val="Hipervnculo"/>
          </w:rPr>
          <w:t>[9]</w:t>
        </w:r>
      </w:hyperlink>
      <w:r>
        <w:t>van un paso más allá y usan redes neuronales sobre mapas de haplotipos para identificar diversificación funcional incipiente, evidencia de selección actuando sobre variantes aún no visibles a nivel poblacional; Ferrer-Orta et al.</w:t>
      </w:r>
      <w:hyperlink w:anchor="ref38" w:history="1">
        <w:r w:rsidR="009D554C">
          <w:rPr>
            <w:rStyle w:val="Hipervnculo"/>
          </w:rPr>
          <w:t>[38]</w:t>
        </w:r>
      </w:hyperlink>
      <w:r>
        <w:t>completan el cuadro a nivel estructural, mostrando cómo mutaciones puntuales concretas en la interfaz nsp12-nsp8 alteran directamente la actividad de la polimerasa viral. Por último, Dong et al.</w:t>
      </w:r>
      <w:hyperlink w:anchor="ref39" w:history="1">
        <w:r w:rsidR="009D554C">
          <w:rPr>
            <w:rStyle w:val="Hipervnculo"/>
          </w:rPr>
          <w:t>[39]</w:t>
        </w:r>
      </w:hyperlink>
      <w:r>
        <w:t>aportan la evidencia más reciente y a mayor escala: analizando tres años de secuenciación de más de 96.000 pacientes del consorcio COG-UK, aplican clustering no supervisado sobre los "genomas de variante minoritaria" de cada paciente para identificar posiciones de Spike bajo presión evolutiva activa, en lo que es probablemente el precedente más directo, en escala y en objetivo, de la validación biológica que se presenta en el capítulo de Resultados de este TFM.</w:t>
      </w:r>
    </w:p>
    <w:p w14:paraId="7155F194" w14:textId="77777777" w:rsidR="009D554C" w:rsidRDefault="00000000">
      <w:pPr>
        <w:jc w:val="both"/>
      </w:pPr>
      <w:r>
        <w:t>Tomados en conjunto, estos trabajos establecen que la diversidad intrahospedador puede anticipar, en casos concretos, mutaciones que después triunfan a nivel poblacional, pero la evidencia proviene sobre todo de casos clínicos aislados o de cohortes de cientos de pacientes, no de un sistema que combine esa señal biológica con un clasificador entrenado sobre millones de secuencias poblacionales de GISAID y validado de forma temporal. Esa combinación, entre la escala poblacional de los sistemas descritos en 2.1 y 2.2 y la evidencia biológica intrahospedador descrita en este apartado, es el hueco que este trabajo intenta cubrir.</w:t>
      </w:r>
    </w:p>
    <w:p w14:paraId="0921AF0F" w14:textId="77777777" w:rsidR="00161FE3" w:rsidRDefault="00000000">
      <w:r>
        <w:br w:type="page"/>
      </w:r>
    </w:p>
    <w:p w14:paraId="6C458253" w14:textId="77777777" w:rsidR="00AE4C5F" w:rsidRPr="00FF276E" w:rsidRDefault="00E35FF3">
      <w:pPr>
        <w:pStyle w:val="Ttulo1"/>
        <w:rPr>
          <w:color w:val="1F497D"/>
        </w:rPr>
      </w:pPr>
      <w:bookmarkStart w:id="20" w:name="_Toc234787605"/>
      <w:bookmarkStart w:id="21" w:name="_Toc238464632"/>
      <w:r w:rsidRPr="00FF276E">
        <w:rPr>
          <w:color w:val="1F497D"/>
        </w:rPr>
        <w:lastRenderedPageBreak/>
        <w:t>3. Marco teórico biológico</w:t>
      </w:r>
      <w:bookmarkEnd w:id="20"/>
      <w:bookmarkEnd w:id="21"/>
    </w:p>
    <w:p w14:paraId="41A5ACFA" w14:textId="77777777" w:rsidR="00AE4C5F" w:rsidRPr="00FF276E" w:rsidRDefault="00E35FF3">
      <w:pPr>
        <w:pStyle w:val="Ttulo2"/>
        <w:rPr>
          <w:color w:val="2E74B5"/>
        </w:rPr>
      </w:pPr>
      <w:bookmarkStart w:id="22" w:name="_Toc234787606"/>
      <w:bookmarkStart w:id="23" w:name="_Toc238464633"/>
      <w:r w:rsidRPr="00FF276E">
        <w:rPr>
          <w:color w:val="2E74B5"/>
        </w:rPr>
        <w:t>3.1. SARS-CoV-2: estructura y evolución</w:t>
      </w:r>
      <w:bookmarkEnd w:id="22"/>
      <w:bookmarkEnd w:id="23"/>
    </w:p>
    <w:p w14:paraId="0BE9D25B" w14:textId="77777777" w:rsidR="00AE4C5F" w:rsidRPr="00FF276E" w:rsidRDefault="00E35FF3">
      <w:pPr>
        <w:jc w:val="both"/>
      </w:pPr>
      <w:r>
        <w:t>SARS-CoV-2 es un coronavirus: un virus cuyo material genético es una cadena de ARN (en vez de ADN) y que debe su nombre a la corona de proteínas que sobresalen de su envoltura externa. Pertenece en concreto al género betacoronavirus, el mismo grupo que otros coronavirus humanos ya conocidos antes de la pandemia. Su genoma es una única cadena de ARN de sentido positivo (es decir, puede traducirse directamente a proteínas nada más entrar en la célula) de unas 30.000 posiciones (30 kilobases), uno de los genomas más grandes conocidos entre los virus de ARN. Ese genoma codifica cuatro proteínas estructurales principales, que forman la partícula viral (Spike, Envelope, Membrane y Nucleocápside), y 16 proteínas no estructurales adicionales (NSP1-NSP16), encargadas sobre todo de replicar el genoma dentro de la célula infectada. Este trabajo se centra en dos de ellas: la proteína Spike (S), que sobresale de la superficie del virus y es la que reconoce y permite la entrada en la célula humana, y la ARN polimerasa dependiente de ARN (NSP12, también llamada RdRp), la enzima que copia el genoma viral. Son las dos regiones con mayor relevancia funcional para la evolución pandémica y, por tanto, las que este trabajo trata con mayor detalle.</w:t>
      </w:r>
    </w:p>
    <w:p w14:paraId="2437B73D" w14:textId="77777777" w:rsidR="00AE4C5F" w:rsidRPr="00FF276E" w:rsidRDefault="00E35FF3">
      <w:pPr>
        <w:jc w:val="both"/>
      </w:pPr>
      <w:r>
        <w:t>La proteína Spike es el principal determinante del tropismo celular y de la capacidad de evasión inmunitaria del SARS-CoV-2. Consta de dos subunidades: S1 (que contiene el dominio N-terminal (NTD) y el dominio de unión al receptor (RBD), residuos 319-541), y S2 (responsable de la fusión de membranas). El RBD establece la interacción directa con el receptor celular ACE2 y es la diana principal de los anticuerpos neutralizantes inducidos tanto por la vacunación como por infecciones previas. Las mutaciones en el RBD que permiten reducir el reconocimiento por estos anticuerpos manteniendo afinidad suficiente por ACE2 confieren una ventaja selectiva a las variantes virales, favoreciendo su expansión en una población con inmunidad híbrida derivada de la vacunación y la infección natural.</w:t>
      </w:r>
    </w:p>
    <w:p w14:paraId="087D7242" w14:textId="77777777" w:rsidR="00AE4C5F" w:rsidRPr="00FF276E" w:rsidRDefault="00E35FF3">
      <w:pPr>
        <w:jc w:val="both"/>
      </w:pPr>
      <w:r>
        <w:t>El sitio de corte furina localizado en la posición 681 de Spike (PRRA↓SVAS) constituye otra región sometida a intensa selección positiva. Las sustituciones P681R/H, características de la variante Delta y de diversos sublinajes tardíos de Omicron, favorecen el procesamiento de Spike por la proteasa celular furina, aumentando la eficiencia de fusión y transmisión. En los datos analizados en este trabajo, la mutación Spike_P681R alcanzó una frecuencia global del 94% en la semana de análisis evaluada (enero 2026), confirmando su papel como mutación de fondo del linaje dominante XFG.</w:t>
      </w:r>
    </w:p>
    <w:p w14:paraId="4F95124F" w14:textId="77777777" w:rsidR="00AE4C5F" w:rsidRPr="00FF276E" w:rsidRDefault="00E35FF3">
      <w:pPr>
        <w:jc w:val="both"/>
      </w:pPr>
      <w:r>
        <w:t xml:space="preserve">NSP12 (RdRp) es funcionalmente conservada por su papel esencial en la replicación viral, pero no está exenta de variación. Sustituciones como P323L (presente en prácticamente todas las variantes posteriores a la cepa de referencia ancestral) alteran la fidelidad de la replicación, y estudios estructurales confirman que mutaciones puntuales en la interfaz nsp12-nsp8 afectan directamente la actividad de la ARN polimerasa </w:t>
      </w:r>
      <w:hyperlink w:anchor="ref38" w:history="1">
        <w:r>
          <w:rPr>
            <w:rStyle w:val="Hipervnculo"/>
          </w:rPr>
          <w:t>[38]</w:t>
        </w:r>
      </w:hyperlink>
      <w:r>
        <w:t>. La inclusión de mutaciones NSP12 en el análisis (conjuntos de datos M2-SPNSP30 y M3-SPNSP/ALL, definidos en 4.1) busca capturar señales de cambio en la dinámica de replicación que podrían anticipar emergencia.</w:t>
      </w:r>
    </w:p>
    <w:p w14:paraId="24EC53B7" w14:textId="6198850D" w:rsidR="00AE4C5F" w:rsidRPr="00FF276E" w:rsidRDefault="00E35FF3">
      <w:pPr>
        <w:pStyle w:val="Ttulo2"/>
        <w:rPr>
          <w:color w:val="2E74B5"/>
        </w:rPr>
      </w:pPr>
      <w:bookmarkStart w:id="24" w:name="_Toc234787607"/>
      <w:bookmarkStart w:id="25" w:name="_Toc238464634"/>
      <w:r w:rsidRPr="00FF276E">
        <w:rPr>
          <w:color w:val="2E74B5"/>
        </w:rPr>
        <w:lastRenderedPageBreak/>
        <w:t>3.2. Nomenclatura Pango y clasificación de variantes</w:t>
      </w:r>
      <w:bookmarkEnd w:id="24"/>
      <w:bookmarkEnd w:id="25"/>
    </w:p>
    <w:p w14:paraId="55E7607D" w14:textId="7E2E749C" w:rsidR="00161FE3" w:rsidRDefault="00D23153" w:rsidP="00D23153">
      <w:pPr>
        <w:jc w:val="both"/>
      </w:pPr>
      <w:r>
        <w:drawing>
          <wp:anchor distT="0" distB="0" distL="114300" distR="114300" simplePos="0" relativeHeight="251658241" behindDoc="0" locked="0" layoutInCell="1" allowOverlap="1" wp14:anchorId="33B06FD6" wp14:editId="42F11753">
            <wp:simplePos x="0" y="0"/>
            <wp:positionH relativeFrom="column">
              <wp:posOffset>1259205</wp:posOffset>
            </wp:positionH>
            <wp:positionV relativeFrom="paragraph">
              <wp:posOffset>2044065</wp:posOffset>
            </wp:positionV>
            <wp:extent cx="5029200" cy="4218038"/>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a_arbol_pango.png"/>
                    <pic:cNvPicPr/>
                  </pic:nvPicPr>
                  <pic:blipFill>
                    <a:blip r:embed="rId12"/>
                    <a:stretch>
                      <a:fillRect/>
                    </a:stretch>
                  </pic:blipFill>
                  <pic:spPr>
                    <a:xfrm>
                      <a:off x="0" y="0"/>
                      <a:ext cx="5029200" cy="4218038"/>
                    </a:xfrm>
                    <a:prstGeom prst="rect">
                      <a:avLst/>
                    </a:prstGeom>
                  </pic:spPr>
                </pic:pic>
              </a:graphicData>
            </a:graphic>
            <wp14:sizeRelH relativeFrom="margin">
              <wp14:pctWidth>0</wp14:pctWidth>
            </wp14:sizeRelH>
            <wp14:sizeRelV relativeFrom="margin">
              <wp14:pctHeight>0</wp14:pctHeight>
            </wp14:sizeRelV>
          </wp:anchor>
        </w:drawing>
      </w:r>
      <w:r w:rsidR="00E35FF3">
        <w:t xml:space="preserve">El sistema de nomenclatura Pango (Phylogenetic Assignment of Named Global Outbreak Lineages) </w:t>
      </w:r>
      <w:hyperlink w:anchor="ref40" w:history="1">
        <w:r w:rsidR="00E35FF3">
          <w:rPr>
            <w:rStyle w:val="Hipervnculo"/>
          </w:rPr>
          <w:t>[40]</w:t>
        </w:r>
      </w:hyperlink>
      <w:r w:rsidR="00E35FF3">
        <w:t xml:space="preserve"> asigna denominaciones jerárquicas a los linajes virales según un árbol filogenético en constante actualización. Un linaje Pango completo puede tener hasta cinco niveles de profundidad (e.g., XBB.1.5.70.1.2), pero cuando el número de descendientes de un nodo supera cierto umbral, se introduce un alias de una o dos letras para comprimir la denominación (e.g., EG = XBB.1.9.2, JN = BA.2.86.1). En este trabajo, se opera con "familias Pango", definidas como el alias o los dos primeros componentes del linaje completo. Esto reduce el nivel de granularidad (el grado de detalle al que se agrupan los linajes) de ~5.000 linajes activos a 435 familias observadas en el período 2020-2026, con suficiente historia temporal para el entrenamiento de los modelos. Un resumen visual de este mecanismo de nomenclatura se muestra en la Figura 3.1.</w:t>
      </w:r>
    </w:p>
    <w:p w14:paraId="286D746D" w14:textId="77777777" w:rsidR="00161FE3" w:rsidRDefault="00000000">
      <w:pPr>
        <w:keepLines/>
        <w:spacing w:before="80" w:after="280"/>
        <w:jc w:val="center"/>
      </w:pPr>
      <w:r>
        <w:rPr>
          <w:b/>
        </w:rPr>
        <w:t>Figura 3.1a. Nomenclatura Pango: profundidad jerárquica del árbol filogenético, donde cada nivel representa un linaje descendiente del anterior.</w:t>
      </w:r>
    </w:p>
    <w:p w14:paraId="0A184B59" w14:textId="77777777" w:rsidR="00161FE3" w:rsidRDefault="00000000">
      <w:pPr>
        <w:keepNext/>
        <w:spacing w:before="280" w:after="80"/>
        <w:jc w:val="center"/>
      </w:pPr>
      <w:r>
        <w:lastRenderedPageBreak/>
        <w:drawing>
          <wp:anchor distT="0" distB="0" distL="114300" distR="114300" simplePos="0" relativeHeight="251658242" behindDoc="0" locked="0" layoutInCell="1" allowOverlap="1" wp14:anchorId="4C49BD63" wp14:editId="25521B6B">
            <wp:simplePos x="0" y="0"/>
            <wp:positionH relativeFrom="column">
              <wp:posOffset>1388745</wp:posOffset>
            </wp:positionH>
            <wp:positionV relativeFrom="paragraph">
              <wp:posOffset>280670</wp:posOffset>
            </wp:positionV>
            <wp:extent cx="5029200" cy="4887132"/>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b_alias_pango.png"/>
                    <pic:cNvPicPr/>
                  </pic:nvPicPr>
                  <pic:blipFill>
                    <a:blip r:embed="rId13"/>
                    <a:stretch>
                      <a:fillRect/>
                    </a:stretch>
                  </pic:blipFill>
                  <pic:spPr>
                    <a:xfrm>
                      <a:off x="0" y="0"/>
                      <a:ext cx="5029200" cy="4887132"/>
                    </a:xfrm>
                    <a:prstGeom prst="rect">
                      <a:avLst/>
                    </a:prstGeom>
                  </pic:spPr>
                </pic:pic>
              </a:graphicData>
            </a:graphic>
            <wp14:sizeRelH relativeFrom="margin">
              <wp14:pctWidth>0</wp14:pctWidth>
            </wp14:sizeRelH>
            <wp14:sizeRelV relativeFrom="margin">
              <wp14:pctHeight>0</wp14:pctHeight>
            </wp14:sizeRelV>
          </wp:anchor>
        </w:drawing>
      </w:r>
    </w:p>
    <w:p w14:paraId="610F4F53" w14:textId="77777777" w:rsidR="00161FE3" w:rsidRDefault="00000000">
      <w:pPr>
        <w:keepLines/>
        <w:spacing w:before="80" w:after="280"/>
        <w:jc w:val="center"/>
      </w:pPr>
      <w:r>
        <w:rPr>
          <w:b/>
        </w:rPr>
        <w:t>Figura 3.1b. Nomenclatura Pango: mecanismo de alias de compresión, por el que un linaje muy ramificado recibe un nombre corto (p. ej. EG en vez de XBB.1.9.2) para mantener la nomenclatura manejable.</w:t>
      </w:r>
    </w:p>
    <w:p w14:paraId="2363139F" w14:textId="77777777" w:rsidR="00AE4C5F" w:rsidRPr="00FF276E" w:rsidRDefault="00E35FF3">
      <w:pPr>
        <w:jc w:val="both"/>
      </w:pPr>
      <w:r>
        <w:t>Un clado es, en términos filogenéticos, un grupo de secuencias virales que descienden de un mismo ancestro común y se agrupan por ese origen evolutivo compartido; es un concepto de nivel similar al de familia Pango, pero definido con un criterio de agrupación distinto. Adicionalmente, Nextclade [41] proporciona una clasificación filogenética alternativa basada en clados de mayor amplitud evolutiva, identificándose 50 clados durante el período de estudio. Los clados Nextclade son útiles para contextualizar la evolución a escala pandémica (e.g., todos los linajes Omicron pertenecen a clados cuyo nombre empieza por "2", como 21L=BA.2, 22F=XBB) y se utilizaron en el conjunto de datos M1 de este trabajo.</w:t>
      </w:r>
    </w:p>
    <w:p w14:paraId="2AF486E4" w14:textId="77777777" w:rsidR="00AE4C5F" w:rsidRPr="00FF276E" w:rsidRDefault="00E35FF3">
      <w:pPr>
        <w:jc w:val="both"/>
      </w:pPr>
      <w:r w:rsidRPr="00FF276E">
        <w:t>La clasificación en Variantes de Interés (VOI) y Variantes de Preocupación (VOC) de la OMS es más restrictiva y tardía: una variante suele alcanzar el 30-50% de frecuencia global antes de ser clasificada. El sistema de vigilancia propuesto en este trabajo está diseñado precisamente para operar mucho antes de ese umbral, identificando candidatos cuando su frecuencia global es aún del 1-10%.</w:t>
      </w:r>
    </w:p>
    <w:p w14:paraId="01E7A14A" w14:textId="77777777" w:rsidR="00AE4C5F" w:rsidRPr="00FF276E" w:rsidRDefault="00E35FF3">
      <w:pPr>
        <w:pStyle w:val="Ttulo2"/>
        <w:rPr>
          <w:color w:val="2E74B5"/>
        </w:rPr>
      </w:pPr>
      <w:bookmarkStart w:id="26" w:name="_Toc234787608"/>
      <w:bookmarkStart w:id="27" w:name="_Toc238464635"/>
      <w:r w:rsidRPr="00FF276E">
        <w:rPr>
          <w:color w:val="2E74B5"/>
        </w:rPr>
        <w:t>3.3. Épocas pandémicas</w:t>
      </w:r>
      <w:bookmarkEnd w:id="26"/>
      <w:bookmarkEnd w:id="27"/>
    </w:p>
    <w:p w14:paraId="2E2339CC" w14:textId="77777777" w:rsidR="00AE4C5F" w:rsidRPr="00FF276E" w:rsidRDefault="00E35FF3">
      <w:pPr>
        <w:jc w:val="both"/>
      </w:pPr>
      <w:r>
        <w:t>La dinámica pandémica no es estacionaria: distintas épocas muestran patrones evolutivos cualitativamente diferentes en cuanto a velocidad de sustitución, intensidad de la presión selectiva y diversidad de variantes co-circulantes. En este trabajo se definieron seis épocas pandémicas en función de la variante dominante en cada período (Tabla 3.1):</w:t>
      </w:r>
    </w:p>
    <w:p w14:paraId="186D1D82" w14:textId="77777777" w:rsidR="00237D4B" w:rsidRPr="00FF276E" w:rsidRDefault="00E35FF3">
      <w:pPr>
        <w:keepNext/>
        <w:spacing w:before="280" w:after="80"/>
        <w:jc w:val="center"/>
      </w:pPr>
      <w:r w:rsidRPr="00FF276E">
        <w:rPr>
          <w:b/>
        </w:rPr>
        <w:lastRenderedPageBreak/>
        <w:t>Tabla 3.1. Épocas pandémicas definidas en este trabajo, con su variante dominante y característica clave.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7"/>
        <w:gridCol w:w="2278"/>
        <w:gridCol w:w="2278"/>
        <w:gridCol w:w="2279"/>
      </w:tblGrid>
      <w:tr w:rsidR="00AE4C5F" w:rsidRPr="00FF276E" w14:paraId="27422A8F" w14:textId="77777777">
        <w:trPr>
          <w:cantSplit/>
          <w:tblHeader/>
          <w:jc w:val="center"/>
        </w:trPr>
        <w:tc>
          <w:tcPr>
            <w:tcW w:w="2280" w:type="dxa"/>
            <w:shd w:val="clear" w:color="auto" w:fill="DCE6F1"/>
          </w:tcPr>
          <w:p w14:paraId="2D11B8E7" w14:textId="77777777" w:rsidR="00AE4C5F" w:rsidRPr="00FF276E" w:rsidRDefault="00E35FF3">
            <w:pPr>
              <w:jc w:val="center"/>
            </w:pPr>
            <w:r w:rsidRPr="00FF276E">
              <w:rPr>
                <w:b/>
              </w:rPr>
              <w:t>Época</w:t>
            </w:r>
          </w:p>
        </w:tc>
        <w:tc>
          <w:tcPr>
            <w:tcW w:w="2280" w:type="dxa"/>
            <w:shd w:val="clear" w:color="auto" w:fill="DCE6F1"/>
          </w:tcPr>
          <w:p w14:paraId="1BEF43FF" w14:textId="77777777" w:rsidR="00AE4C5F" w:rsidRPr="00FF276E" w:rsidRDefault="00E35FF3">
            <w:pPr>
              <w:jc w:val="center"/>
            </w:pPr>
            <w:r w:rsidRPr="00FF276E">
              <w:rPr>
                <w:b/>
              </w:rPr>
              <w:t>Período</w:t>
            </w:r>
          </w:p>
        </w:tc>
        <w:tc>
          <w:tcPr>
            <w:tcW w:w="2280" w:type="dxa"/>
            <w:shd w:val="clear" w:color="auto" w:fill="DCE6F1"/>
          </w:tcPr>
          <w:p w14:paraId="45104B74" w14:textId="77777777" w:rsidR="00AE4C5F" w:rsidRPr="00FF276E" w:rsidRDefault="00E35FF3">
            <w:pPr>
              <w:jc w:val="center"/>
            </w:pPr>
            <w:r w:rsidRPr="00FF276E">
              <w:rPr>
                <w:b/>
              </w:rPr>
              <w:t>Variante dominante</w:t>
            </w:r>
          </w:p>
        </w:tc>
        <w:tc>
          <w:tcPr>
            <w:tcW w:w="2280" w:type="dxa"/>
            <w:shd w:val="clear" w:color="auto" w:fill="DCE6F1"/>
          </w:tcPr>
          <w:p w14:paraId="1D2B755D" w14:textId="77777777" w:rsidR="00AE4C5F" w:rsidRPr="00FF276E" w:rsidRDefault="00E35FF3">
            <w:pPr>
              <w:jc w:val="center"/>
            </w:pPr>
            <w:r w:rsidRPr="00FF276E">
              <w:rPr>
                <w:b/>
              </w:rPr>
              <w:t>Característica clave</w:t>
            </w:r>
          </w:p>
        </w:tc>
      </w:tr>
      <w:tr w:rsidR="00AE4C5F" w:rsidRPr="00FF276E" w14:paraId="3250AF2D" w14:textId="77777777">
        <w:trPr>
          <w:cantSplit/>
          <w:jc w:val="center"/>
        </w:trPr>
        <w:tc>
          <w:tcPr>
            <w:tcW w:w="2280" w:type="dxa"/>
          </w:tcPr>
          <w:p w14:paraId="30676526" w14:textId="77777777" w:rsidR="00237D4B" w:rsidRPr="00FF276E" w:rsidRDefault="00E35FF3">
            <w:r w:rsidRPr="00FF276E">
              <w:t>E1: Pre-Omicron</w:t>
            </w:r>
          </w:p>
        </w:tc>
        <w:tc>
          <w:tcPr>
            <w:tcW w:w="2280" w:type="dxa"/>
          </w:tcPr>
          <w:p w14:paraId="09A03B4C" w14:textId="77777777" w:rsidR="00AE4C5F" w:rsidRPr="00FF276E" w:rsidRDefault="00E35FF3">
            <w:pPr>
              <w:jc w:val="center"/>
            </w:pPr>
            <w:r w:rsidRPr="00FF276E">
              <w:t>2020-03 a 2021-11</w:t>
            </w:r>
          </w:p>
        </w:tc>
        <w:tc>
          <w:tcPr>
            <w:tcW w:w="2280" w:type="dxa"/>
          </w:tcPr>
          <w:p w14:paraId="630F99F0" w14:textId="77777777" w:rsidR="00AE4C5F" w:rsidRPr="00FF276E" w:rsidRDefault="00E35FF3">
            <w:pPr>
              <w:jc w:val="center"/>
            </w:pPr>
            <w:r w:rsidRPr="00FF276E">
              <w:t>B.1 → Alpha → Delta</w:t>
            </w:r>
          </w:p>
        </w:tc>
        <w:tc>
          <w:tcPr>
            <w:tcW w:w="2280" w:type="dxa"/>
          </w:tcPr>
          <w:p w14:paraId="68918964" w14:textId="77777777" w:rsidR="00AE4C5F" w:rsidRPr="00FF276E" w:rsidRDefault="00E35FF3">
            <w:pPr>
              <w:jc w:val="center"/>
            </w:pPr>
            <w:r w:rsidRPr="00FF276E">
              <w:t>Variantes de gran divergencia filogenética</w:t>
            </w:r>
          </w:p>
        </w:tc>
      </w:tr>
      <w:tr w:rsidR="00AE4C5F" w:rsidRPr="00FF276E" w14:paraId="08D3D7B5" w14:textId="77777777">
        <w:trPr>
          <w:cantSplit/>
          <w:jc w:val="center"/>
        </w:trPr>
        <w:tc>
          <w:tcPr>
            <w:tcW w:w="2280" w:type="dxa"/>
          </w:tcPr>
          <w:p w14:paraId="5C5D0FC3" w14:textId="77777777" w:rsidR="00237D4B" w:rsidRPr="00FF276E" w:rsidRDefault="00E35FF3">
            <w:r w:rsidRPr="00FF276E">
              <w:t>E2: Omicron inicial</w:t>
            </w:r>
          </w:p>
        </w:tc>
        <w:tc>
          <w:tcPr>
            <w:tcW w:w="2280" w:type="dxa"/>
          </w:tcPr>
          <w:p w14:paraId="79329170" w14:textId="77777777" w:rsidR="00AE4C5F" w:rsidRPr="00FF276E" w:rsidRDefault="00E35FF3">
            <w:pPr>
              <w:jc w:val="center"/>
            </w:pPr>
            <w:r w:rsidRPr="00FF276E">
              <w:t>2021-11 a 2022-06</w:t>
            </w:r>
          </w:p>
        </w:tc>
        <w:tc>
          <w:tcPr>
            <w:tcW w:w="2280" w:type="dxa"/>
          </w:tcPr>
          <w:p w14:paraId="24028195" w14:textId="77777777" w:rsidR="00AE4C5F" w:rsidRPr="00FF276E" w:rsidRDefault="00E35FF3">
            <w:pPr>
              <w:jc w:val="center"/>
            </w:pPr>
            <w:r w:rsidRPr="00FF276E">
              <w:t>BA.1 → BA.2</w:t>
            </w:r>
          </w:p>
        </w:tc>
        <w:tc>
          <w:tcPr>
            <w:tcW w:w="2280" w:type="dxa"/>
          </w:tcPr>
          <w:p w14:paraId="0F31E967" w14:textId="77777777" w:rsidR="00AE4C5F" w:rsidRPr="00FF276E" w:rsidRDefault="00E35FF3">
            <w:pPr>
              <w:jc w:val="center"/>
            </w:pPr>
            <w:r w:rsidRPr="00FF276E">
              <w:t>Explosión de diversidad, escape inmune masivo</w:t>
            </w:r>
          </w:p>
        </w:tc>
      </w:tr>
      <w:tr w:rsidR="00AE4C5F" w:rsidRPr="00FF276E" w14:paraId="3F275545" w14:textId="77777777">
        <w:trPr>
          <w:cantSplit/>
          <w:jc w:val="center"/>
        </w:trPr>
        <w:tc>
          <w:tcPr>
            <w:tcW w:w="2280" w:type="dxa"/>
          </w:tcPr>
          <w:p w14:paraId="4206F293" w14:textId="77777777" w:rsidR="00237D4B" w:rsidRPr="00FF276E" w:rsidRDefault="00E35FF3">
            <w:r w:rsidRPr="00FF276E">
              <w:t>E3: BA.4/5</w:t>
            </w:r>
          </w:p>
        </w:tc>
        <w:tc>
          <w:tcPr>
            <w:tcW w:w="2280" w:type="dxa"/>
          </w:tcPr>
          <w:p w14:paraId="1F94D79B" w14:textId="77777777" w:rsidR="00AE4C5F" w:rsidRPr="00FF276E" w:rsidRDefault="00E35FF3">
            <w:pPr>
              <w:jc w:val="center"/>
            </w:pPr>
            <w:r w:rsidRPr="00FF276E">
              <w:t>2022-06 a 2022-12</w:t>
            </w:r>
          </w:p>
        </w:tc>
        <w:tc>
          <w:tcPr>
            <w:tcW w:w="2280" w:type="dxa"/>
          </w:tcPr>
          <w:p w14:paraId="2C2025DC" w14:textId="77777777" w:rsidR="00AE4C5F" w:rsidRPr="00FF276E" w:rsidRDefault="00E35FF3">
            <w:pPr>
              <w:jc w:val="center"/>
            </w:pPr>
            <w:r w:rsidRPr="00FF276E">
              <w:t>BA.4/5</w:t>
            </w:r>
          </w:p>
        </w:tc>
        <w:tc>
          <w:tcPr>
            <w:tcW w:w="2280" w:type="dxa"/>
          </w:tcPr>
          <w:p w14:paraId="68592683" w14:textId="77777777" w:rsidR="00AE4C5F" w:rsidRPr="00FF276E" w:rsidRDefault="00E35FF3">
            <w:pPr>
              <w:jc w:val="center"/>
            </w:pPr>
            <w:r w:rsidRPr="00FF276E">
              <w:t>Dominio de sublinajes con F486V</w:t>
            </w:r>
          </w:p>
        </w:tc>
      </w:tr>
      <w:tr w:rsidR="00AE4C5F" w:rsidRPr="00FF276E" w14:paraId="348EC2E0" w14:textId="77777777">
        <w:trPr>
          <w:cantSplit/>
          <w:jc w:val="center"/>
        </w:trPr>
        <w:tc>
          <w:tcPr>
            <w:tcW w:w="2280" w:type="dxa"/>
          </w:tcPr>
          <w:p w14:paraId="62FEFE33" w14:textId="77777777" w:rsidR="00237D4B" w:rsidRPr="00FF276E" w:rsidRDefault="00E35FF3">
            <w:r w:rsidRPr="00FF276E">
              <w:t>E4: XBB</w:t>
            </w:r>
          </w:p>
        </w:tc>
        <w:tc>
          <w:tcPr>
            <w:tcW w:w="2280" w:type="dxa"/>
          </w:tcPr>
          <w:p w14:paraId="6B6AC4F7" w14:textId="77777777" w:rsidR="00AE4C5F" w:rsidRPr="00FF276E" w:rsidRDefault="00E35FF3">
            <w:pPr>
              <w:jc w:val="center"/>
            </w:pPr>
            <w:r w:rsidRPr="00FF276E">
              <w:t>2022-12 a 2023-09</w:t>
            </w:r>
          </w:p>
        </w:tc>
        <w:tc>
          <w:tcPr>
            <w:tcW w:w="2280" w:type="dxa"/>
          </w:tcPr>
          <w:p w14:paraId="7A131AC8" w14:textId="77777777" w:rsidR="00AE4C5F" w:rsidRPr="00FF276E" w:rsidRDefault="00E35FF3">
            <w:pPr>
              <w:jc w:val="center"/>
            </w:pPr>
            <w:r w:rsidRPr="00FF276E">
              <w:t>XBB.1.5 → EG.5</w:t>
            </w:r>
          </w:p>
        </w:tc>
        <w:tc>
          <w:tcPr>
            <w:tcW w:w="2280" w:type="dxa"/>
          </w:tcPr>
          <w:p w14:paraId="49F76FF4" w14:textId="77777777" w:rsidR="00AE4C5F" w:rsidRPr="00FF276E" w:rsidRDefault="00E35FF3">
            <w:pPr>
              <w:jc w:val="center"/>
            </w:pPr>
            <w:r w:rsidRPr="00FF276E">
              <w:t>Recombinantes, convergencia en 486</w:t>
            </w:r>
          </w:p>
        </w:tc>
      </w:tr>
      <w:tr w:rsidR="00AE4C5F" w:rsidRPr="00FF276E" w14:paraId="3A048524" w14:textId="77777777">
        <w:trPr>
          <w:cantSplit/>
          <w:jc w:val="center"/>
        </w:trPr>
        <w:tc>
          <w:tcPr>
            <w:tcW w:w="2280" w:type="dxa"/>
          </w:tcPr>
          <w:p w14:paraId="63D6E00B" w14:textId="77777777" w:rsidR="00237D4B" w:rsidRPr="00FF276E" w:rsidRDefault="00E35FF3">
            <w:r w:rsidRPr="00FF276E">
              <w:t>E5: JN/KP</w:t>
            </w:r>
          </w:p>
        </w:tc>
        <w:tc>
          <w:tcPr>
            <w:tcW w:w="2280" w:type="dxa"/>
          </w:tcPr>
          <w:p w14:paraId="455DE993" w14:textId="77777777" w:rsidR="00AE4C5F" w:rsidRPr="00FF276E" w:rsidRDefault="00E35FF3">
            <w:pPr>
              <w:jc w:val="center"/>
            </w:pPr>
            <w:r w:rsidRPr="00FF276E">
              <w:t>2023-09 a 2025-06</w:t>
            </w:r>
          </w:p>
        </w:tc>
        <w:tc>
          <w:tcPr>
            <w:tcW w:w="2280" w:type="dxa"/>
          </w:tcPr>
          <w:p w14:paraId="3ED6959A" w14:textId="77777777" w:rsidR="00AE4C5F" w:rsidRPr="00FF276E" w:rsidRDefault="00E35FF3">
            <w:pPr>
              <w:jc w:val="center"/>
            </w:pPr>
            <w:r w:rsidRPr="00FF276E">
              <w:t>JN.1 → KP → KP.3</w:t>
            </w:r>
          </w:p>
        </w:tc>
        <w:tc>
          <w:tcPr>
            <w:tcW w:w="2280" w:type="dxa"/>
          </w:tcPr>
          <w:p w14:paraId="49360FAF" w14:textId="77777777" w:rsidR="00AE4C5F" w:rsidRPr="00FF276E" w:rsidRDefault="00E35FF3">
            <w:pPr>
              <w:jc w:val="center"/>
            </w:pPr>
            <w:r w:rsidRPr="00FF276E">
              <w:t>BA.2.86 y descendientes, gran divergencia</w:t>
            </w:r>
          </w:p>
        </w:tc>
      </w:tr>
      <w:tr w:rsidR="00AE4C5F" w:rsidRPr="00FF276E" w14:paraId="5D83CBBA" w14:textId="77777777">
        <w:trPr>
          <w:cantSplit/>
          <w:jc w:val="center"/>
        </w:trPr>
        <w:tc>
          <w:tcPr>
            <w:tcW w:w="2280" w:type="dxa"/>
          </w:tcPr>
          <w:p w14:paraId="5A748460" w14:textId="77777777" w:rsidR="00237D4B" w:rsidRPr="00FF276E" w:rsidRDefault="00E35FF3">
            <w:r w:rsidRPr="00FF276E">
              <w:t>E6: XFG</w:t>
            </w:r>
          </w:p>
        </w:tc>
        <w:tc>
          <w:tcPr>
            <w:tcW w:w="2280" w:type="dxa"/>
          </w:tcPr>
          <w:p w14:paraId="43074FF6" w14:textId="77777777" w:rsidR="00AE4C5F" w:rsidRPr="00FF276E" w:rsidRDefault="00E35FF3">
            <w:pPr>
              <w:jc w:val="center"/>
            </w:pPr>
            <w:r w:rsidRPr="00FF276E">
              <w:t>2025-06 a 2026-02</w:t>
            </w:r>
          </w:p>
        </w:tc>
        <w:tc>
          <w:tcPr>
            <w:tcW w:w="2280" w:type="dxa"/>
          </w:tcPr>
          <w:p w14:paraId="0A93583A" w14:textId="77777777" w:rsidR="00AE4C5F" w:rsidRPr="00FF276E" w:rsidRDefault="00E35FF3">
            <w:pPr>
              <w:jc w:val="center"/>
            </w:pPr>
            <w:r w:rsidRPr="00FF276E">
              <w:t>XFG</w:t>
            </w:r>
          </w:p>
        </w:tc>
        <w:tc>
          <w:tcPr>
            <w:tcW w:w="2280" w:type="dxa"/>
          </w:tcPr>
          <w:p w14:paraId="51AC63F7" w14:textId="77777777" w:rsidR="00AE4C5F" w:rsidRPr="00FF276E" w:rsidRDefault="00E35FF3">
            <w:pPr>
              <w:jc w:val="center"/>
            </w:pPr>
            <w:r w:rsidRPr="00FF276E">
              <w:t>Recombinante KP.1.1×KP.3.3, "Stratus"</w:t>
            </w:r>
          </w:p>
        </w:tc>
      </w:tr>
    </w:tbl>
    <w:p w14:paraId="34BF6E69" w14:textId="77777777" w:rsidR="00AE4C5F" w:rsidRPr="00FF276E" w:rsidRDefault="00E35FF3">
      <w:pPr>
        <w:jc w:val="both"/>
      </w:pPr>
      <w:r>
        <w:t xml:space="preserve">Esta segmentación temporal es crucial metodológicamente: los cinco folds de la </w:t>
      </w:r>
      <w:r>
        <w:rPr>
          <w:i/>
        </w:rPr>
        <w:t>validación progresiva</w:t>
      </w:r>
      <w:r>
        <w:t xml:space="preserve"> se definieron a partir de esas épocas pandémicas. De esta forma, la validación temporal adquiere relevancia epidemiológica significativa, es decir, cada fold representa un cambio real en el paisaje viral al que el modelo no ha tenido acceso durante el entrenamiento.</w:t>
      </w:r>
    </w:p>
    <w:p w14:paraId="2EFB7A87" w14:textId="77777777" w:rsidR="00AE4C5F" w:rsidRPr="00FF276E" w:rsidRDefault="00E35FF3">
      <w:pPr>
        <w:pStyle w:val="Ttulo2"/>
        <w:rPr>
          <w:color w:val="2E74B5"/>
        </w:rPr>
      </w:pPr>
      <w:bookmarkStart w:id="28" w:name="_Toc234787609"/>
      <w:bookmarkStart w:id="29" w:name="_Toc238464636"/>
      <w:r w:rsidRPr="00FF276E">
        <w:rPr>
          <w:color w:val="2E74B5"/>
        </w:rPr>
        <w:t>3.4. Mecanismos de escape inmune y mutaciones clave</w:t>
      </w:r>
      <w:bookmarkEnd w:id="28"/>
      <w:bookmarkEnd w:id="29"/>
    </w:p>
    <w:p w14:paraId="0098525B" w14:textId="77777777" w:rsidR="00AE4C5F" w:rsidRPr="00FF276E" w:rsidRDefault="00E35FF3">
      <w:pPr>
        <w:jc w:val="both"/>
      </w:pPr>
      <w:r>
        <w:t xml:space="preserve">La presión selectiva que actúa sobre el RBD (dominio de unión al receptor) de Spike está determinada principalmente por la respuesta de anticuerpos existente en la población, configurada tras múltiples rondas de vacunación e infección a lo largo de los seis años de la pandemia. Los epítopos (zonas concretas de la proteína reconocidas y atacadas por los anticuerpos) principales del RBD se clasifican en cuatro clases [42]: la clase 1 cubre el sitio de unión a ACE2 directamente (posiciones ~417, 453, 501), la clase 2 cubre el flanco del RBD (posiciones ~346, 484, 452), la clase 3 el flanco opuesto (posiciones ~444-447, 340-346) y la clase 4 la cara inferior del RBD. Las mutaciones en estas posiciones, especialmente 346, 444-447, 484, 486, 490 y 501, son las de mayor </w:t>
      </w:r>
      <w:r>
        <w:rPr>
          <w:i/>
        </w:rPr>
        <w:t>hazard ratio</w:t>
      </w:r>
      <w:r>
        <w:t xml:space="preserve"> en el modelo Cox de mutaciones de este trabajo.</w:t>
      </w:r>
    </w:p>
    <w:p w14:paraId="6E9C2135" w14:textId="77777777" w:rsidR="00AE4C5F" w:rsidRPr="00FF276E" w:rsidRDefault="00E35FF3">
      <w:pPr>
        <w:jc w:val="both"/>
      </w:pPr>
      <w:r w:rsidRPr="00FF276E">
        <w:lastRenderedPageBreak/>
        <w:t xml:space="preserve">Un hallazgo particularmente notable en los datos es la convergencia evolutiva en la posición 445 de Spike: la familia XFG acumula V445R, NB acumula V445H, y PY acumula V445P. Que tres linajes independientes modifiquen exactamente la misma posición (con distintos aminoácidos de reemplazo) es una evidencia fuerte de selección positiva: la posición 445 está bajo presión de anticuerpos de clase 3 y su mutación confiere ventaja de escape sin coste aparente de afinidad por ACE2. Esta convergencia es precisamente el tipo de señal que la </w:t>
      </w:r>
      <w:r w:rsidRPr="006825B8">
        <w:t>característica</w:t>
      </w:r>
      <w:r w:rsidRPr="00FF276E">
        <w:t xml:space="preserve"> n_families del conjunto de datos de mutaciones (M3-SPNSP) está diseñado para detectar.</w:t>
      </w:r>
    </w:p>
    <w:p w14:paraId="76B2D847" w14:textId="77777777" w:rsidR="00AE4C5F" w:rsidRPr="00FF276E" w:rsidRDefault="00E35FF3">
      <w:pPr>
        <w:jc w:val="both"/>
      </w:pPr>
      <w:r>
        <w:t xml:space="preserve">XFG, la variante dominante en enero 2026, fue designada como "Variante Bajo Monitorización" (VUM) por la OMS en junio de 2025 y escalada a VOI en septiembre de 2025. Deriva del recombinante de KP.1.1 (donante 5' del genoma) y KP.3.3 (donante 3'), heredando de ambos sus mutaciones de escape inmune características. Su </w:t>
      </w:r>
      <w:r w:rsidRPr="1A1DBA1C">
        <w:rPr>
          <w:i/>
          <w:iCs/>
        </w:rPr>
        <w:t>eficacia biológica</w:t>
      </w:r>
      <w:r>
        <w:t xml:space="preserve"> empírica (tasa de crecimiento log-lineal sobre las 8 semanas previas al corte de datos) es negativa en enero 2026 (log_growth_8w ≈ −0.10), indicando que ha alcanzado su pico de dominancia y está comenzando a ser desplazada por sus sucesores. Esta </w:t>
      </w:r>
      <w:r w:rsidRPr="1A1DBA1C">
        <w:rPr>
          <w:i/>
          <w:iCs/>
        </w:rPr>
        <w:t>eficacia biológica</w:t>
      </w:r>
      <w:r>
        <w:t xml:space="preserve"> no es uniforme a nivel global: Davidson et al. </w:t>
      </w:r>
      <w:hyperlink w:anchor="ref43" w:history="1">
        <w:r>
          <w:rPr>
            <w:rStyle w:val="Hipervnculo"/>
          </w:rPr>
          <w:t>[43]</w:t>
        </w:r>
      </w:hyperlink>
      <w:r>
        <w:t xml:space="preserve"> documentan una transmisión sustancialmente menor de XFG en Kenia respecto a su dominancia mundial, evidencia temprana de la heterogeneidad regional que este trabajo no captura</w:t>
      </w:r>
      <w:r w:rsidR="167CF794">
        <w:t>,</w:t>
      </w:r>
      <w:r>
        <w:t xml:space="preserve"> al operar con frecuencias globales (8.3.2).</w:t>
      </w:r>
    </w:p>
    <w:p w14:paraId="46200212" w14:textId="77777777" w:rsidR="00AE4C5F" w:rsidRPr="00FF276E" w:rsidRDefault="00E35FF3">
      <w:pPr>
        <w:jc w:val="both"/>
      </w:pPr>
      <w:r w:rsidRPr="00FF276E">
        <w:br w:type="page"/>
      </w:r>
    </w:p>
    <w:p w14:paraId="54FC4421" w14:textId="77777777" w:rsidR="00AE4C5F" w:rsidRPr="00FF276E" w:rsidRDefault="00E35FF3">
      <w:pPr>
        <w:pStyle w:val="Ttulo1"/>
        <w:rPr>
          <w:color w:val="1F497D"/>
        </w:rPr>
      </w:pPr>
      <w:bookmarkStart w:id="30" w:name="_Toc234787610"/>
      <w:bookmarkStart w:id="31" w:name="_Toc238464637"/>
      <w:r w:rsidRPr="00FF276E">
        <w:rPr>
          <w:color w:val="1F497D"/>
        </w:rPr>
        <w:lastRenderedPageBreak/>
        <w:t>4. Fundamentos metodológicos</w:t>
      </w:r>
      <w:bookmarkEnd w:id="30"/>
      <w:bookmarkEnd w:id="31"/>
    </w:p>
    <w:p w14:paraId="6CCE8CCA" w14:textId="77777777" w:rsidR="00AE4C5F" w:rsidRPr="00FF276E" w:rsidRDefault="00E35FF3">
      <w:pPr>
        <w:pStyle w:val="Ttulo2"/>
        <w:rPr>
          <w:color w:val="2E74B5"/>
        </w:rPr>
      </w:pPr>
      <w:bookmarkStart w:id="32" w:name="_Toc234787611"/>
      <w:bookmarkStart w:id="33" w:name="_Toc238464638"/>
      <w:r w:rsidRPr="00FF276E">
        <w:rPr>
          <w:color w:val="2E74B5"/>
        </w:rPr>
        <w:t>4.1. El problema de predicción como clasificación binaria</w:t>
      </w:r>
      <w:bookmarkEnd w:id="32"/>
      <w:bookmarkEnd w:id="33"/>
    </w:p>
    <w:p w14:paraId="4AFC0350" w14:textId="77777777" w:rsidR="00AE4C5F" w:rsidRPr="00FF276E" w:rsidRDefault="00E35FF3">
      <w:pPr>
        <w:jc w:val="both"/>
      </w:pPr>
      <w:r>
        <w:t xml:space="preserve">La predicción de emergencia viral se formula </w:t>
      </w:r>
      <w:r w:rsidR="3E78228E">
        <w:t xml:space="preserve">en este trabajo </w:t>
      </w:r>
      <w:r>
        <w:t>como un problema de clasificación binaria en un contexto de series temporales</w:t>
      </w:r>
      <w:r w:rsidR="3778D404">
        <w:t>,</w:t>
      </w:r>
      <w:r>
        <w:t xml:space="preserve"> </w:t>
      </w:r>
      <w:r w:rsidR="1AA0058C">
        <w:t>donde hay un gran des</w:t>
      </w:r>
      <w:r w:rsidR="2E8EEFB7">
        <w:t>balance</w:t>
      </w:r>
      <w:r w:rsidR="1AA0058C">
        <w:t xml:space="preserve"> entre las clases</w:t>
      </w:r>
      <w:r>
        <w:t xml:space="preserve">. Para cada entidad (clado Nextclade, familia Pango o mutación individual) y semana t, se construye un ejemplo de entrenamiento con </w:t>
      </w:r>
      <w:r w:rsidRPr="1A1DBA1C">
        <w:rPr>
          <w:iCs/>
        </w:rPr>
        <w:t>características</w:t>
      </w:r>
      <w:r>
        <w:t xml:space="preserve"> calculadas sobre la historia [t-8, t] y una etiqueta binaria que vale 1 si esa entidad llega a alcanzar el umbral de dominancia en algún momento a partir de 4 semanas después (formulación exacta en el </w:t>
      </w:r>
      <w:hyperlink w:anchor="apxA3" w:history="1">
        <w:r>
          <w:rPr>
            <w:rStyle w:val="Hipervnculo"/>
          </w:rPr>
          <w:t>Apéndice A.3</w:t>
        </w:r>
      </w:hyperlink>
      <w:r>
        <w:t xml:space="preserve">).</w:t>
      </w:r>
    </w:p>
    <w:p w14:paraId="50646DB0" w14:textId="77777777" w:rsidR="00AE4C5F" w:rsidRPr="00FF276E" w:rsidRDefault="00E35FF3">
      <w:pPr>
        <w:jc w:val="both"/>
      </w:pPr>
      <w:r>
        <w:t>A diferencia de una variable objetivo de crecimiento relativo con horizonte fijo, esta formulación pregunta directamente si la entidad llegará alguna vez a dominar tras el margen mínimo de 4 semanas (HORIZON_MIN), independientemente de cuándo.</w:t>
      </w:r>
    </w:p>
    <w:p w14:paraId="37D0EB81" w14:textId="77777777" w:rsidR="00AE4C5F" w:rsidRPr="00FF276E" w:rsidRDefault="05A47D4C">
      <w:pPr>
        <w:jc w:val="both"/>
      </w:pPr>
      <w:r>
        <w:t>En este trabajo se manejan tres niveles de granularidad, es decir, tres formas distintas de agrupar la misma información viral, de más general a más específica (clado, familia Pango y mutación individual), y se construyen cuatro conjuntos de datos a partir de ellos:</w:t>
      </w:r>
    </w:p>
    <w:p w14:paraId="64E78349" w14:textId="77777777" w:rsidR="00AE4C5F" w:rsidRPr="00FF276E" w:rsidRDefault="05A47D4C" w:rsidP="00781B9B">
      <w:pPr>
        <w:pStyle w:val="Prrafodelista"/>
        <w:numPr>
          <w:ilvl w:val="0"/>
          <w:numId w:val="1"/>
        </w:numPr>
        <w:jc w:val="both"/>
      </w:pPr>
      <w:r>
        <w:t>M1: clados Nextclade en fase pre-emergencia: solo se incluyen observaciones con frecuencia global aún baja (freq_t0 &lt; 5%), y la variable objetivo es si ese clado llegará a alcanzar el 5% en algún momento posterior. Es el nivel de granularidad más agregado (19 clados con datos en el período de estudio) y el que responde a la pregunta operativa más simple: "este clado que hoy es minoritario, ¿llegará a dominar?" (15 características temporales; variantes M1-BIO y M1-SPNSP añaden características biológicas y mutacionales, respectivamente).</w:t>
      </w:r>
    </w:p>
    <w:p w14:paraId="20A4760A" w14:textId="77777777" w:rsidR="00AE4C5F" w:rsidRPr="00FF276E" w:rsidRDefault="05A47D4C" w:rsidP="00781B9B">
      <w:pPr>
        <w:pStyle w:val="Prrafodelista"/>
        <w:numPr>
          <w:ilvl w:val="0"/>
          <w:numId w:val="1"/>
        </w:numPr>
        <w:jc w:val="both"/>
      </w:pPr>
      <w:r>
        <w:t>M2: familias Pango (435 familias observadas): el nivel de granularidad intermedio, el que usa la nomenclatura que sigue la prensa y los organismos de salud pública (ej. "XFG", "JN.1"). Combina 15 características temporales de crecimiento con 6 características biológicas (escape inmune, diversidad mutacional). La variante M2-SPNSP30 añade además las frecuencias de las 30 mutaciones de Spike y NSP12 más informativas.</w:t>
      </w:r>
    </w:p>
    <w:p w14:paraId="60513466" w14:textId="77777777" w:rsidR="00AE4C5F" w:rsidRPr="00FF276E" w:rsidRDefault="05A47D4C" w:rsidP="1A1DBA1C">
      <w:pPr>
        <w:pStyle w:val="Prrafodelista"/>
        <w:numPr>
          <w:ilvl w:val="0"/>
          <w:numId w:val="1"/>
        </w:numPr>
        <w:jc w:val="both"/>
      </w:pPr>
      <w:r>
        <w:t>M3-ALL: todas las mutaciones individuales con señal real detectada en el genoma (2.279 posiciones, de 205.156 mutaciones brutas observadas): el nivel de granularidad más fino, útil para vigilar posiciones concretas independientemente de en qué familia aparezcan (17 características).</w:t>
      </w:r>
    </w:p>
    <w:p w14:paraId="265413EF" w14:textId="77777777" w:rsidR="00AE4C5F" w:rsidRPr="00FF276E" w:rsidRDefault="05A47D4C" w:rsidP="1A1DBA1C">
      <w:pPr>
        <w:pStyle w:val="Prrafodelista"/>
        <w:numPr>
          <w:ilvl w:val="0"/>
          <w:numId w:val="1"/>
        </w:numPr>
        <w:jc w:val="both"/>
      </w:pPr>
      <w:r>
        <w:t>M3-SPNSP: el mismo nivel que M3-ALL pero restringido a mutaciones de las proteínas Spike y NSP12 (637 mutaciones), las dos regiones de mayor relevancia funcional para este trabajo (ver 3.1). Es el conjunto de datos con mejor equilibrio entre AUC, tamaño muestral y utilidad operativa, y el que se recomienda como modelo principal del sistema (16 características).</w:t>
      </w:r>
    </w:p>
    <w:p w14:paraId="028D7A5D" w14:textId="77777777" w:rsidR="00AE4C5F" w:rsidRPr="00FF276E" w:rsidRDefault="00E35FF3">
      <w:pPr>
        <w:jc w:val="both"/>
      </w:pPr>
      <w:r>
        <w:t xml:space="preserve">El umbral de dominancia (DOMINANT_THR) es del 5% de frecuencia global para M1, M2 y M3-ALL, y del 10% para M3-SPNSP (las mutaciones de Spike+NSP12 se fijan globalmente con más frecuencia, por lo que un umbral más exigente es más informativo). El desbalanceo resultante depende del </w:t>
      </w:r>
      <w:r w:rsidRPr="1A1DBA1C">
        <w:rPr>
          <w:iCs/>
        </w:rPr>
        <w:t xml:space="preserve">conjunto </w:t>
      </w:r>
      <w:r w:rsidRPr="1A1DBA1C">
        <w:rPr>
          <w:iCs/>
        </w:rPr>
        <w:lastRenderedPageBreak/>
        <w:t>de datos</w:t>
      </w:r>
      <w:r>
        <w:t xml:space="preserve"> y del filtro de fase aplicado: </w:t>
      </w:r>
      <w:r w:rsidRPr="1A1DBA1C">
        <w:rPr>
          <w:b/>
          <w:bCs/>
        </w:rPr>
        <w:t>28.4%</w:t>
      </w:r>
      <w:r>
        <w:t xml:space="preserve"> de positivos en M1 (que solo modela la fase pre-emergencia, ver más abajo), </w:t>
      </w:r>
      <w:r w:rsidRPr="1A1DBA1C">
        <w:rPr>
          <w:b/>
          <w:bCs/>
        </w:rPr>
        <w:t>13.5%</w:t>
      </w:r>
      <w:r>
        <w:t xml:space="preserve"> en M2, </w:t>
      </w:r>
      <w:r w:rsidRPr="1A1DBA1C">
        <w:rPr>
          <w:b/>
          <w:bCs/>
        </w:rPr>
        <w:t>19.1%</w:t>
      </w:r>
      <w:r>
        <w:t xml:space="preserve"> en M3-SPNSP y </w:t>
      </w:r>
      <w:r w:rsidRPr="1A1DBA1C">
        <w:rPr>
          <w:b/>
          <w:bCs/>
        </w:rPr>
        <w:t>14.0%</w:t>
      </w:r>
      <w:r>
        <w:t xml:space="preserve"> en M3-ALL.</w:t>
      </w:r>
    </w:p>
    <w:p w14:paraId="089C00A7" w14:textId="77777777" w:rsidR="00237D4B" w:rsidRPr="00FF276E" w:rsidRDefault="00E35FF3">
      <w:pPr>
        <w:jc w:val="both"/>
      </w:pPr>
      <w:r w:rsidRPr="00FF276E">
        <w:t xml:space="preserve">Diseño específico de M1: solo fase pre-emergencia. A diferencia de M2 y M3, el </w:t>
      </w:r>
      <w:r w:rsidRPr="006825B8">
        <w:t>conjunto de datos</w:t>
      </w:r>
      <w:r w:rsidRPr="00FF276E">
        <w:t xml:space="preserve"> M1 excluye las observaciones en las que el clado Nextclade ya ha superado el 5% de frecuencia global (freq_t0 &gt;= 5%), reduciendo el </w:t>
      </w:r>
      <w:r w:rsidRPr="006825B8">
        <w:t>conjunto de datos</w:t>
      </w:r>
      <w:r w:rsidRPr="00FF276E">
        <w:t xml:space="preserve"> de 2.011 a 1.390 filas (69.1% se conservan). La pregunta que M1 responde es deliberadamente más estrecha y más útil operativamente: "este clado que hoy es minoritario, ¿llegará a dominar?", en vez de mezclar fase de incubación y fase de dominancia ya consolidada en el mismo conjunto de entrenamiento.</w:t>
      </w:r>
    </w:p>
    <w:p w14:paraId="63D1C95B" w14:textId="77777777" w:rsidR="00AE4C5F" w:rsidRPr="00FF276E" w:rsidRDefault="00E35FF3">
      <w:pPr>
        <w:jc w:val="both"/>
      </w:pPr>
      <w:r>
        <w:rPr/>
        <w:t xml:space="preserve">Una decisión de diseño crítica, y que distingue este trabajo de aproximaciones más simples, es la censura temporal de las etiquetas de entrenamiento (en el sentido estadístico de censura: no usar, en una fecha de corte dada, información sobre si el evento, aquí alcanzar el umbral de dominancia, llegó a ocurrir después de esa fecha); el mecanismo concreto se detalla en 4.3, junto con la otra fuga de datos corregida en este trabajo. Su necesidad se verifica mediante un patrón sistemático en los cuatro </w:t>
      </w:r>
      <w:r>
        <w:rPr/>
        <w:t>conjuntos de datos</w:t>
      </w:r>
      <w:r>
        <w:rPr/>
        <w:t xml:space="preserve"> con </w:t>
      </w:r>
      <w:r>
        <w:rPr>
          <w:i/>
        </w:rPr>
        <w:t>validación progresiva</w:t>
      </w:r>
      <w:r>
        <w:rPr/>
        <w:t xml:space="preserve"> (M2, M2-SPNSP30, M3-SPNSP, M3-ALL) (7.2.2): el AUC de </w:t>
      </w:r>
      <w:r>
        <w:rPr>
          <w:i/>
        </w:rPr>
        <w:t>validación progresiva</w:t>
      </w:r>
      <w:r>
        <w:rPr/>
        <w:t xml:space="preserve"> es consistentemente inferior al de la </w:t>
      </w:r>
      <w:r>
        <w:rPr>
          <w:i/>
        </w:rPr>
        <w:t>partición</w:t>
      </w:r>
      <w:r>
        <w:rPr/>
        <w:t xml:space="preserve"> temporal simple (Δ de −0.008 a −0.065), el comportamiento esperado si no hay fuga y difícil de atribuir al azar si la hubiera.</w:t>
      </w:r>
    </w:p>
    <w:p w14:paraId="195C7ABC" w14:textId="77777777" w:rsidR="00AE4C5F" w:rsidRPr="00FF276E" w:rsidRDefault="00E35FF3">
      <w:pPr>
        <w:pStyle w:val="Ttulo2"/>
        <w:rPr>
          <w:color w:val="2E74B5"/>
        </w:rPr>
      </w:pPr>
      <w:bookmarkStart w:id="34" w:name="_Toc234787612"/>
      <w:bookmarkStart w:id="35" w:name="_Toc238464639"/>
      <w:r w:rsidRPr="1A1DBA1C">
        <w:rPr>
          <w:color w:val="2E74B5"/>
        </w:rPr>
        <w:t>4.2. Configuración de LightGBM en este trabajo</w:t>
      </w:r>
      <w:bookmarkEnd w:id="34"/>
      <w:bookmarkEnd w:id="35"/>
    </w:p>
    <w:p w14:paraId="0BDD4555" w14:textId="77777777" w:rsidR="00AE4C5F" w:rsidRPr="00FF276E" w:rsidRDefault="00E35FF3">
      <w:pPr>
        <w:jc w:val="both"/>
      </w:pPr>
      <w:r>
        <w:rPr/>
        <w:t xml:space="preserve">Los hiperparámetros de LightGBM (BASE_PARAMS y sus variantes PARAMS_SMALL/PARAMS_M2 según el conjunto de datos) </w:t>
      </w:r>
      <w:r>
        <w:rPr/>
        <w:t>se detallan</w:t>
      </w:r>
      <w:r>
        <w:rPr/>
        <w:t xml:space="preserve"> en el </w:t>
      </w:r>
      <w:hyperlink w:anchor="apxA1" w:history="1">
        <w:r>
          <w:rPr>
            <w:rStyle w:val="Hipervnculo"/>
          </w:rPr>
          <w:t>Apéndice A.1</w:t>
        </w:r>
      </w:hyperlink>
      <w:r>
        <w:rPr/>
        <w:t xml:space="preserve">. La métrica de evaluación durante el entrenamiento es el AUC-ROC, con </w:t>
      </w:r>
      <w:r>
        <w:rPr>
          <w:i/>
        </w:rPr>
        <w:t>early stopping</w:t>
      </w:r>
      <w:r>
        <w:rPr/>
        <w:t xml:space="preserve"> sobre un conjunto de validación interna (20% temporal del </w:t>
      </w:r>
      <w:r>
        <w:rPr>
          <w:i/>
        </w:rPr>
        <w:t>train</w:t>
      </w:r>
      <w:r>
        <w:rPr/>
        <w:t xml:space="preserve">, nunca el </w:t>
      </w:r>
      <w:r>
        <w:rPr>
          <w:i/>
        </w:rPr>
        <w:t>test</w:t>
      </w:r>
      <w:r>
        <w:rPr/>
        <w:t>).</w:t>
      </w:r>
    </w:p>
    <w:p w14:paraId="42B988D9" w14:textId="77777777" w:rsidR="00AE4C5F" w:rsidRPr="00FF276E" w:rsidRDefault="00E35FF3">
      <w:pPr>
        <w:jc w:val="both"/>
      </w:pPr>
      <w:r w:rsidRPr="00FF276E">
        <w:t xml:space="preserve">Nota importante sobre la calibración de probabilidades: el uso de scale_pos_weight provoca que las probabilidades crudas predichas por LightGBM no estén calibradas en sentido absoluto, y la regularización de cada </w:t>
      </w:r>
      <w:r w:rsidRPr="006825B8">
        <w:t>conjunto de datos</w:t>
      </w:r>
      <w:r w:rsidRPr="00FF276E">
        <w:t xml:space="preserve"> desplaza aún más ese desajuste (más en PARAMS_M2 que en BASE_PARAMS). El AUC-ROC valida la </w:t>
      </w:r>
      <w:r w:rsidRPr="006825B8">
        <w:rPr>
          <w:i/>
        </w:rPr>
        <w:t>priorización</w:t>
      </w:r>
      <w:r w:rsidRPr="00FF276E">
        <w:t xml:space="preserve"> relativa de los ejemplos, no las probabilidades absolutas. El sistema usa esta salida de dos formas distintas según lo que necesita cada módulo: la </w:t>
      </w:r>
      <w:r w:rsidRPr="006825B8">
        <w:rPr>
          <w:i/>
        </w:rPr>
        <w:t>priorización</w:t>
      </w:r>
      <w:r w:rsidRPr="00FF276E">
        <w:t xml:space="preserve"> de vigilancia (7.4) sí requiere que HIGH/MEDIUM/WATCH signifiquen una probabilidad </w:t>
      </w:r>
      <w:r w:rsidRPr="00FF276E">
        <w:lastRenderedPageBreak/>
        <w:t xml:space="preserve">real, así que calibra la salida de LightGBM con IsotonicRegression sobre el mismo 20% de validación interna; el replicador de proyección forward (7.5), en cambio, solo necesita el orden relativo entre </w:t>
      </w:r>
      <w:r w:rsidRPr="006825B8">
        <w:t>variantes en ascenso</w:t>
      </w:r>
      <w:r w:rsidRPr="00FF276E">
        <w:t>, así que usa la probabilidad cruda con un reescalado min-max, sin necesidad de calibrar.</w:t>
      </w:r>
    </w:p>
    <w:p w14:paraId="62C3C4CC" w14:textId="77777777" w:rsidR="00AE4C5F" w:rsidRPr="00FF276E" w:rsidRDefault="00E35FF3">
      <w:pPr>
        <w:pStyle w:val="Ttulo2"/>
        <w:rPr>
          <w:color w:val="2E74B5"/>
        </w:rPr>
      </w:pPr>
      <w:bookmarkStart w:id="36" w:name="_Toc234787613"/>
      <w:bookmarkStart w:id="37" w:name="_Toc238464640"/>
      <w:r w:rsidRPr="00FF276E">
        <w:rPr>
          <w:color w:val="2E74B5"/>
        </w:rPr>
        <w:t>4.3. Filtraciones de datos en series temporales: identificación y corrección</w:t>
      </w:r>
      <w:bookmarkEnd w:id="36"/>
      <w:bookmarkEnd w:id="37"/>
    </w:p>
    <w:p w14:paraId="0B61A965" w14:textId="77777777" w:rsidR="00AE4C5F" w:rsidRPr="00FF276E" w:rsidRDefault="00E35FF3">
      <w:pPr>
        <w:jc w:val="both"/>
      </w:pPr>
      <w:r w:rsidRPr="00FF276E">
        <w:t>Las filtraciones de datos (</w:t>
      </w:r>
      <w:r w:rsidRPr="00463084">
        <w:rPr>
          <w:i/>
        </w:rPr>
        <w:t>data leakage</w:t>
      </w:r>
      <w:r w:rsidRPr="00FF276E">
        <w:t>) son uno de los errores metodológicos más comunes y perjudiciales en el aprendizaje automático aplicado a series temporales. Se producen cuando información del futuro, respecto al momento de predicción, influye en el proceso de entrenamiento o selección del modelo, generando estimaciones de rendimiento artificialmente optimistas que no se materializan en producción.</w:t>
      </w:r>
    </w:p>
    <w:p w14:paraId="3CAC2EA8" w14:textId="77777777" w:rsidR="00AE4C5F" w:rsidRPr="00FF276E" w:rsidRDefault="00E35FF3">
      <w:pPr>
        <w:jc w:val="both"/>
      </w:pPr>
      <w:r w:rsidRPr="00FF276E">
        <w:t>En este trabajo se identificaron y corrigieron dos filtraciones:</w:t>
      </w:r>
    </w:p>
    <w:p w14:paraId="3486A7E4" w14:textId="77777777" w:rsidR="00AE4C5F" w:rsidRPr="00FF276E" w:rsidRDefault="00E35FF3">
      <w:pPr>
        <w:jc w:val="both"/>
      </w:pPr>
      <w:r w:rsidRPr="00FF276E">
        <w:rPr>
          <w:b/>
        </w:rPr>
        <w:t xml:space="preserve">Filtración 1: </w:t>
      </w:r>
      <w:r w:rsidRPr="006825B8">
        <w:rPr>
          <w:b/>
          <w:i/>
        </w:rPr>
        <w:t>Early stopping</w:t>
      </w:r>
      <w:r w:rsidRPr="00FF276E">
        <w:rPr>
          <w:b/>
        </w:rPr>
        <w:t xml:space="preserve"> sobre el conjunto de </w:t>
      </w:r>
      <w:r w:rsidRPr="002D0178">
        <w:rPr>
          <w:b/>
          <w:i/>
        </w:rPr>
        <w:t>test</w:t>
      </w:r>
    </w:p>
    <w:p w14:paraId="2CE3ACE5" w14:textId="77777777" w:rsidR="00AE4C5F" w:rsidRPr="00FF276E" w:rsidRDefault="00E35FF3">
      <w:pPr>
        <w:jc w:val="both"/>
      </w:pPr>
      <w:r w:rsidRPr="00FF276E">
        <w:t xml:space="preserve">En la implementación inicial, el parámetro early_stopping_rounds de LightGBM monitorizaba el AUC sobre el conjunto de </w:t>
      </w:r>
      <w:r w:rsidRPr="002D0178">
        <w:rPr>
          <w:i/>
        </w:rPr>
        <w:t>test</w:t>
      </w:r>
      <w:r w:rsidRPr="00FF276E">
        <w:t xml:space="preserve"> (datos ≥ 2023-06-01) para decidir cuándo detener el entrenamiento. Esto convierte el conjunto de </w:t>
      </w:r>
      <w:r w:rsidRPr="002D0178">
        <w:rPr>
          <w:i/>
        </w:rPr>
        <w:t>test</w:t>
      </w:r>
      <w:r w:rsidRPr="00FF276E">
        <w:t xml:space="preserve"> en un conjunto de validación implícito: el número de árboles se elige para maximizar el AUC en </w:t>
      </w:r>
      <w:r w:rsidRPr="002D0178">
        <w:rPr>
          <w:i/>
        </w:rPr>
        <w:t>test</w:t>
      </w:r>
      <w:r w:rsidRPr="00FF276E">
        <w:t xml:space="preserve">, lo que introduce un sesgo hacia modelos sobreajustados a ese conjunto específico. La corrección implementada reserva el 20% temporal del conjunto de entrenamiento (las últimas semanas antes del corte) como validación interna, usando ese subconjunto para el </w:t>
      </w:r>
      <w:r w:rsidRPr="006825B8">
        <w:rPr>
          <w:i/>
        </w:rPr>
        <w:t>early stopping</w:t>
      </w:r>
      <w:r w:rsidRPr="00FF276E">
        <w:t xml:space="preserve"> y manteniendo el </w:t>
      </w:r>
      <w:r w:rsidRPr="002D0178">
        <w:rPr>
          <w:i/>
        </w:rPr>
        <w:t>test</w:t>
      </w:r>
      <w:r w:rsidRPr="00FF276E">
        <w:t xml:space="preserve"> completamente aislado.</w:t>
      </w:r>
    </w:p>
    <w:p w14:paraId="356CA994" w14:textId="77777777" w:rsidR="00AE4C5F" w:rsidRPr="00FF276E" w:rsidRDefault="00E35FF3">
      <w:pPr>
        <w:jc w:val="both"/>
      </w:pPr>
      <w:r w:rsidRPr="00FF276E">
        <w:rPr>
          <w:b/>
        </w:rPr>
        <w:t>Filtración 2: Ausencia de censura temporal en las etiquetas</w:t>
      </w:r>
    </w:p>
    <w:p w14:paraId="24B26B2F" w14:textId="77777777" w:rsidR="00AE4C5F" w:rsidRPr="00FF276E" w:rsidRDefault="00E35FF3">
      <w:pPr>
        <w:jc w:val="both"/>
      </w:pPr>
      <w:r>
        <w:rPr/>
        <w:t xml:space="preserve">La </w:t>
      </w:r>
      <w:r>
        <w:rPr>
          <w:i/>
        </w:rPr>
        <w:t>variable objetivo</w:t>
      </w:r>
      <w:r>
        <w:rPr/>
        <w:t xml:space="preserve"> binaria se calculaba inicialmente como "¿alcanzará esta variante el umbral en algún momento futuro?", usando toda la historia disponible. Esto hace que el modelo aprenda de información del futuro respecto al corte de validación: una variante que domina en 2025 recibe </w:t>
      </w:r>
      <w:r>
        <w:rPr>
          <w:i/>
        </w:rPr>
        <w:t>target</w:t>
      </w:r>
      <w:r>
        <w:rPr/>
        <w:t xml:space="preserve">=1 incluso cuando se usa como ejemplo de entrenamiento en 2022, aunque en 2022 todavía no había señal observable de su emergencia. La corrección (formulación exacta en el </w:t>
      </w:r>
      <w:hyperlink w:anchor="apxA3" w:history="1">
        <w:r>
          <w:rPr>
            <w:rStyle w:val="Hipervnculo"/>
          </w:rPr>
          <w:t>Apéndice A.3</w:t>
        </w:r>
      </w:hyperlink>
      <w:r>
        <w:rPr/>
        <w:t xml:space="preserve">) garantiza que cada ejemplo de entrenamiento solo contiene información disponible en ese momento.</w:t>
      </w:r>
    </w:p>
    <w:p w14:paraId="6BC6AA6F" w14:textId="77777777" w:rsidR="00AE4C5F" w:rsidRPr="00FF276E" w:rsidRDefault="00CF03D8">
      <w:pPr>
        <w:jc w:val="both"/>
      </w:pPr>
      <w:r w:rsidRPr="00FF276E">
        <w:t xml:space="preserve">El sistema incorpora ambas correcciones por diseño, no como un parche posterior: el </w:t>
      </w:r>
      <w:r w:rsidRPr="006825B8">
        <w:rPr>
          <w:i/>
        </w:rPr>
        <w:t>early stopping</w:t>
      </w:r>
      <w:r w:rsidRPr="00FF276E">
        <w:t xml:space="preserve"> usa siempre una partición interna de validación (nunca el </w:t>
      </w:r>
      <w:r w:rsidRPr="002D0178">
        <w:rPr>
          <w:i/>
        </w:rPr>
        <w:t>test</w:t>
      </w:r>
      <w:r w:rsidRPr="00FF276E">
        <w:t xml:space="preserve">), y las etiquetas de entrenamiento están censuradas temporalmente desde la construcción del </w:t>
      </w:r>
      <w:r w:rsidRPr="006825B8">
        <w:t>conjunto de datos</w:t>
      </w:r>
      <w:r w:rsidRPr="00FF276E">
        <w:t xml:space="preserve"> (4.1).</w:t>
      </w:r>
    </w:p>
    <w:p w14:paraId="3F8565A7" w14:textId="77777777" w:rsidR="00AE4C5F" w:rsidRPr="00FF276E" w:rsidRDefault="00E35FF3">
      <w:pPr>
        <w:pStyle w:val="Ttulo2"/>
        <w:rPr>
          <w:color w:val="2E74B5"/>
        </w:rPr>
      </w:pPr>
      <w:bookmarkStart w:id="38" w:name="_Toc234787614"/>
      <w:bookmarkStart w:id="39" w:name="_Toc238464641"/>
      <w:r w:rsidRPr="00FF276E">
        <w:rPr>
          <w:color w:val="2E74B5"/>
        </w:rPr>
        <w:t>4.4. Validación progresiva en series temporales por épocas pandémicas</w:t>
      </w:r>
      <w:bookmarkEnd w:id="38"/>
      <w:bookmarkEnd w:id="39"/>
    </w:p>
    <w:p w14:paraId="7B997EEC" w14:textId="77777777" w:rsidR="00AE4C5F" w:rsidRPr="00FF276E" w:rsidRDefault="00E35FF3">
      <w:pPr>
        <w:jc w:val="both"/>
      </w:pPr>
      <w:r w:rsidRPr="00FF276E">
        <w:t xml:space="preserve">La validación cruzada estándar (k-fold aleatorio) es inadecuada para datos temporales porque permite que el modelo "vea el futuro" durante el entrenamiento: al mezclar aleatoriamente ejemplos de distintas épocas, ejemplos del fold de validación pueden estar temporalmente intercalados con </w:t>
      </w:r>
      <w:r w:rsidRPr="00FF276E">
        <w:lastRenderedPageBreak/>
        <w:t>ejemplos de entrenamiento, violando la causalidad. Para datos epidemiológicos con fuerte estructura temporal, esta violación genera estimaciones optimistas que no se materializan en producción.</w:t>
      </w:r>
    </w:p>
    <w:p w14:paraId="4AA719F9" w14:textId="77777777" w:rsidR="00AE4C5F" w:rsidRPr="00FF276E" w:rsidRDefault="00E35FF3">
      <w:pPr>
        <w:jc w:val="both"/>
      </w:pPr>
      <w:r>
        <w:rPr/>
        <w:t xml:space="preserve">En este trabajo se utiliza </w:t>
      </w:r>
      <w:r>
        <w:rPr>
          <w:i/>
        </w:rPr>
        <w:t>validación progresiva</w:t>
      </w:r>
      <w:r>
        <w:rPr/>
        <w:t xml:space="preserve"> por épocas pandémicas, que tiene mayor sentido biológico que una partición temporal arbitraria: se definen cinco folds de entrenamiento-</w:t>
      </w:r>
      <w:r>
        <w:rPr>
          <w:i/>
        </w:rPr>
        <w:t>test</w:t>
      </w:r>
      <w:r>
        <w:rPr/>
        <w:t xml:space="preserve">, cada uno correspondiente a una transición entre épocas pandémicas, entrenando en todo lo anterior a cada época y evaluando solo sobre la época siguiente, sin usar nunca información posterior a ese punto de corte ni para las etiquetas ni para el </w:t>
      </w:r>
      <w:r>
        <w:rPr>
          <w:i/>
        </w:rPr>
        <w:t>early stopping</w:t>
      </w:r>
      <w:r>
        <w:rPr/>
        <w:t xml:space="preserve"> (protocolo completo, punto por punto, en el </w:t>
      </w:r>
      <w:hyperlink w:anchor="apxA4" w:history="1">
        <w:r>
          <w:rPr>
            <w:rStyle w:val="Hipervnculo"/>
          </w:rPr>
          <w:t>Apéndice A.4</w:t>
        </w:r>
      </w:hyperlink>
      <w:r>
        <w:rPr/>
        <w:t xml:space="preserve">).</w:t>
      </w:r>
    </w:p>
    <w:p w14:paraId="05BD6661" w14:textId="77777777" w:rsidR="00AE4C5F" w:rsidRPr="00FF276E" w:rsidRDefault="00E35FF3">
      <w:pPr>
        <w:jc w:val="both"/>
      </w:pPr>
      <w:r w:rsidRPr="00FF276E">
        <w:t xml:space="preserve">El AUC final de la </w:t>
      </w:r>
      <w:r w:rsidRPr="000E2107">
        <w:rPr>
          <w:i/>
        </w:rPr>
        <w:t>validación progresiva</w:t>
      </w:r>
      <w:r w:rsidRPr="00FF276E">
        <w:t xml:space="preserve"> es la media sobre los cinco folds. La desviación estándar entre folds es un indicador de la estabilidad del modelo ante cambios cualitativos en el paisaje viral: una std alta indica que el modelo es muy sensible al tipo concreto de variantes presentes en cada época.</w:t>
      </w:r>
    </w:p>
    <w:p w14:paraId="4E0D3BF4" w14:textId="77777777" w:rsidR="009D554C" w:rsidRDefault="00000000">
      <w:pPr>
        <w:pStyle w:val="Ttulo3"/>
      </w:pPr>
      <w:bookmarkStart w:id="40" w:name="_Toc238464642"/>
      <w:r>
        <w:rPr>
          <w:b w:val="0"/>
        </w:rPr>
        <w:t>4.4.1. Comparación empírica con otros algoritmos: ¿por qué LightGBM?</w:t>
      </w:r>
      <w:bookmarkEnd w:id="40"/>
    </w:p>
    <w:p w14:paraId="6CC1D9A1" w14:textId="77777777" w:rsidR="009D554C" w:rsidRDefault="00000000">
      <w:pPr>
        <w:jc w:val="both"/>
      </w:pPr>
      <w:r>
        <w:t>Antes de fijar LightGBM como algoritmo del sistema se comparó su rendimiento con tres alternativas de uso muy extendido en aprendizaje automático: la regresión logística (el modelo de clasificación binaria más simple, que estima cómo cada variable empuja hacia arriba o hacia abajo la probabilidad de que una variante llegue a dominar), un random forest (un conjunto de muchos árboles de decisión entrenados de forma independiente y promediados entre sí) y un gradient boosting genérico (el mismo principio que LightGBM, árboles que se van corrigiendo unos a otros, pero sin las optimizaciones de velocidad y de manejo de datos dispersos propias de LightGBM). Los cuatro algoritmos se entrenaron y evaluaron sobre exactamente los mismos datos, el mismo reparto temporal de entrenamiento/validación/test y la misma variable objetivo censurada (4.3), tanto en la partición temporal fija como en la validación progresiva por épocas pandémicas descrita en esta misma sección, para que la comparación fuera limpia.</w:t>
      </w:r>
    </w:p>
    <w:p w14:paraId="63C6D518" w14:textId="77777777" w:rsidR="009D554C" w:rsidRDefault="00000000">
      <w:pPr>
        <w:jc w:val="both"/>
      </w:pPr>
      <w:r>
        <w:t>La Tabla 4.1 resume el AUC medio (± desviación típica entre las cinco épocas de la validación progresiva) de cada algoritmo en los cuatro conjuntos de datos que admiten esta validación temporal. El patrón no es uniforme: en los dos conjuntos a nivel de familia Pango (M2 y M2-SPNSP30) LightGBM es claramente el mejor; en los dos conjuntos a nivel de mutación individual (M3-SPNSP y M3-ALL) la regresión logística iguala o supera ligeramente a LightGBM.</w:t>
      </w:r>
    </w:p>
    <w:p w14:paraId="5DE9F13A" w14:textId="77777777" w:rsidR="009D554C" w:rsidRDefault="00000000">
      <w:pPr>
        <w:keepNext/>
        <w:spacing w:before="280" w:after="80"/>
        <w:jc w:val="center"/>
      </w:pPr>
      <w:r>
        <w:rPr>
          <w:b/>
        </w:rPr>
        <w:t>Tabla 4.1. AUC medio ± desviación típica en la validación progresiva (5 épocas pandémicas), por algoritmo y conjunto de datos. En negrita, el mejor algoritmo de cada fila.</w:t>
      </w:r>
    </w:p>
    <w:tbl>
      <w:tblPr>
        <w:tblStyle w:val="Tablaconcuadrcula"/>
        <w:tblW w:w="0" w:type="auto"/>
        <w:jc w:val="center"/>
        <w:tblLook w:val="04A0" w:firstRow="1" w:lastRow="0" w:firstColumn="1" w:lastColumn="0" w:noHBand="0" w:noVBand="1"/>
      </w:tblPr>
      <w:tblGrid>
        <w:gridCol w:w="1823"/>
        <w:gridCol w:w="1823"/>
        <w:gridCol w:w="1822"/>
        <w:gridCol w:w="1822"/>
        <w:gridCol w:w="1822"/>
      </w:tblGrid>
      <w:tr w:rsidR="009D554C" w14:paraId="0683D879" w14:textId="77777777">
        <w:trPr>
          <w:jc w:val="center"/>
        </w:trPr>
        <w:tc>
          <w:tcPr>
            <w:tcW w:w="1824" w:type="dxa"/>
          </w:tcPr>
          <w:p w14:paraId="72D83368" w14:textId="77777777" w:rsidR="009D554C" w:rsidRDefault="00000000">
            <w:pPr>
              <w:jc w:val="center"/>
            </w:pPr>
            <w:r>
              <w:rPr>
                <w:b/>
              </w:rPr>
              <w:t>Conjunto de datos</w:t>
            </w:r>
          </w:p>
        </w:tc>
        <w:tc>
          <w:tcPr>
            <w:tcW w:w="1824" w:type="dxa"/>
          </w:tcPr>
          <w:p w14:paraId="6B3907DA" w14:textId="77777777" w:rsidR="009D554C" w:rsidRDefault="00000000">
            <w:pPr>
              <w:jc w:val="center"/>
            </w:pPr>
            <w:r>
              <w:rPr>
                <w:b/>
              </w:rPr>
              <w:t>Logistic Regression</w:t>
            </w:r>
          </w:p>
        </w:tc>
        <w:tc>
          <w:tcPr>
            <w:tcW w:w="1824" w:type="dxa"/>
          </w:tcPr>
          <w:p w14:paraId="05EF25C4" w14:textId="77777777" w:rsidR="009D554C" w:rsidRDefault="00000000">
            <w:pPr>
              <w:jc w:val="center"/>
            </w:pPr>
            <w:r>
              <w:rPr>
                <w:b/>
              </w:rPr>
              <w:t>Random Forest</w:t>
            </w:r>
          </w:p>
        </w:tc>
        <w:tc>
          <w:tcPr>
            <w:tcW w:w="1824" w:type="dxa"/>
          </w:tcPr>
          <w:p w14:paraId="42889583" w14:textId="77777777" w:rsidR="009D554C" w:rsidRDefault="00000000">
            <w:pPr>
              <w:jc w:val="center"/>
            </w:pPr>
            <w:r>
              <w:rPr>
                <w:b/>
              </w:rPr>
              <w:t>Gradient Boosting</w:t>
            </w:r>
          </w:p>
        </w:tc>
        <w:tc>
          <w:tcPr>
            <w:tcW w:w="1824" w:type="dxa"/>
          </w:tcPr>
          <w:p w14:paraId="0CDC9D1B" w14:textId="77777777" w:rsidR="009D554C" w:rsidRDefault="00000000">
            <w:pPr>
              <w:jc w:val="center"/>
            </w:pPr>
            <w:r>
              <w:rPr>
                <w:b/>
              </w:rPr>
              <w:t>LightGBM</w:t>
            </w:r>
          </w:p>
        </w:tc>
      </w:tr>
      <w:tr w:rsidR="009D554C" w14:paraId="74DC08BC" w14:textId="77777777">
        <w:trPr>
          <w:jc w:val="center"/>
        </w:trPr>
        <w:tc>
          <w:tcPr>
            <w:tcW w:w="1824" w:type="dxa"/>
          </w:tcPr>
          <w:p w14:paraId="0B144E43" w14:textId="77777777" w:rsidR="009D554C" w:rsidRDefault="00000000">
            <w:pPr>
              <w:jc w:val="center"/>
            </w:pPr>
            <w:r>
              <w:rPr>
                <w:b/>
              </w:rPr>
              <w:t>M2</w:t>
            </w:r>
          </w:p>
        </w:tc>
        <w:tc>
          <w:tcPr>
            <w:tcW w:w="1824" w:type="dxa"/>
          </w:tcPr>
          <w:p w14:paraId="250B0B93" w14:textId="77777777" w:rsidR="009D554C" w:rsidRDefault="00000000">
            <w:pPr>
              <w:jc w:val="center"/>
            </w:pPr>
            <w:r>
              <w:t>0.8453 ± 0.0467</w:t>
            </w:r>
          </w:p>
        </w:tc>
        <w:tc>
          <w:tcPr>
            <w:tcW w:w="1824" w:type="dxa"/>
          </w:tcPr>
          <w:p w14:paraId="33C7D8D3" w14:textId="77777777" w:rsidR="009D554C" w:rsidRDefault="00000000">
            <w:pPr>
              <w:jc w:val="center"/>
            </w:pPr>
            <w:r>
              <w:t>0.8268 ± 0.0533</w:t>
            </w:r>
          </w:p>
        </w:tc>
        <w:tc>
          <w:tcPr>
            <w:tcW w:w="1824" w:type="dxa"/>
          </w:tcPr>
          <w:p w14:paraId="14D5E900" w14:textId="77777777" w:rsidR="009D554C" w:rsidRDefault="00000000">
            <w:pPr>
              <w:jc w:val="center"/>
            </w:pPr>
            <w:r>
              <w:t>0.8352 ± 0.0394</w:t>
            </w:r>
          </w:p>
        </w:tc>
        <w:tc>
          <w:tcPr>
            <w:tcW w:w="1824" w:type="dxa"/>
          </w:tcPr>
          <w:p w14:paraId="6D587060" w14:textId="77777777" w:rsidR="009D554C" w:rsidRDefault="00000000">
            <w:pPr>
              <w:jc w:val="center"/>
            </w:pPr>
            <w:r>
              <w:rPr>
                <w:b/>
              </w:rPr>
              <w:t>0.8772 ± 0.0256</w:t>
            </w:r>
          </w:p>
        </w:tc>
      </w:tr>
      <w:tr w:rsidR="009D554C" w14:paraId="340CAA29" w14:textId="77777777">
        <w:trPr>
          <w:jc w:val="center"/>
        </w:trPr>
        <w:tc>
          <w:tcPr>
            <w:tcW w:w="1824" w:type="dxa"/>
          </w:tcPr>
          <w:p w14:paraId="384809DC" w14:textId="77777777" w:rsidR="009D554C" w:rsidRDefault="00000000">
            <w:pPr>
              <w:jc w:val="center"/>
            </w:pPr>
            <w:r>
              <w:rPr>
                <w:b/>
              </w:rPr>
              <w:lastRenderedPageBreak/>
              <w:t>M2-SPNSP30</w:t>
            </w:r>
          </w:p>
        </w:tc>
        <w:tc>
          <w:tcPr>
            <w:tcW w:w="1824" w:type="dxa"/>
          </w:tcPr>
          <w:p w14:paraId="3EAF169D" w14:textId="77777777" w:rsidR="009D554C" w:rsidRDefault="00000000">
            <w:pPr>
              <w:jc w:val="center"/>
            </w:pPr>
            <w:r>
              <w:t>0.6754 ± 0.1511</w:t>
            </w:r>
          </w:p>
        </w:tc>
        <w:tc>
          <w:tcPr>
            <w:tcW w:w="1824" w:type="dxa"/>
          </w:tcPr>
          <w:p w14:paraId="5E0348C5" w14:textId="77777777" w:rsidR="009D554C" w:rsidRDefault="00000000">
            <w:pPr>
              <w:jc w:val="center"/>
            </w:pPr>
            <w:r>
              <w:t>0.7810 ± 0.0990</w:t>
            </w:r>
          </w:p>
        </w:tc>
        <w:tc>
          <w:tcPr>
            <w:tcW w:w="1824" w:type="dxa"/>
          </w:tcPr>
          <w:p w14:paraId="3F0B8F33" w14:textId="77777777" w:rsidR="009D554C" w:rsidRDefault="00000000">
            <w:pPr>
              <w:jc w:val="center"/>
            </w:pPr>
            <w:r>
              <w:t>0.7265 ± 0.1153</w:t>
            </w:r>
          </w:p>
        </w:tc>
        <w:tc>
          <w:tcPr>
            <w:tcW w:w="1824" w:type="dxa"/>
          </w:tcPr>
          <w:p w14:paraId="39816501" w14:textId="77777777" w:rsidR="009D554C" w:rsidRDefault="00000000">
            <w:pPr>
              <w:jc w:val="center"/>
            </w:pPr>
            <w:r>
              <w:rPr>
                <w:b/>
              </w:rPr>
              <w:t>0.8265 ± 0.0765</w:t>
            </w:r>
          </w:p>
        </w:tc>
      </w:tr>
      <w:tr w:rsidR="009D554C" w14:paraId="5F7007CE" w14:textId="77777777">
        <w:trPr>
          <w:jc w:val="center"/>
        </w:trPr>
        <w:tc>
          <w:tcPr>
            <w:tcW w:w="1824" w:type="dxa"/>
          </w:tcPr>
          <w:p w14:paraId="64E8B5B8" w14:textId="77777777" w:rsidR="009D554C" w:rsidRDefault="00000000">
            <w:pPr>
              <w:jc w:val="center"/>
            </w:pPr>
            <w:r>
              <w:rPr>
                <w:b/>
              </w:rPr>
              <w:t>M3-SPNSP</w:t>
            </w:r>
          </w:p>
        </w:tc>
        <w:tc>
          <w:tcPr>
            <w:tcW w:w="1824" w:type="dxa"/>
          </w:tcPr>
          <w:p w14:paraId="4E9030FB" w14:textId="77777777" w:rsidR="009D554C" w:rsidRDefault="00000000">
            <w:pPr>
              <w:jc w:val="center"/>
            </w:pPr>
            <w:r>
              <w:rPr>
                <w:b/>
              </w:rPr>
              <w:t>0.8816 ± 0.0492</w:t>
            </w:r>
          </w:p>
        </w:tc>
        <w:tc>
          <w:tcPr>
            <w:tcW w:w="1824" w:type="dxa"/>
          </w:tcPr>
          <w:p w14:paraId="0CB3DE8F" w14:textId="77777777" w:rsidR="009D554C" w:rsidRDefault="00000000">
            <w:pPr>
              <w:jc w:val="center"/>
            </w:pPr>
            <w:r>
              <w:t>0.8700 ± 0.0545</w:t>
            </w:r>
          </w:p>
        </w:tc>
        <w:tc>
          <w:tcPr>
            <w:tcW w:w="1824" w:type="dxa"/>
          </w:tcPr>
          <w:p w14:paraId="6B6DD177" w14:textId="77777777" w:rsidR="009D554C" w:rsidRDefault="00000000">
            <w:pPr>
              <w:jc w:val="center"/>
            </w:pPr>
            <w:r>
              <w:t>0.8566 ± 0.0581</w:t>
            </w:r>
          </w:p>
        </w:tc>
        <w:tc>
          <w:tcPr>
            <w:tcW w:w="1824" w:type="dxa"/>
          </w:tcPr>
          <w:p w14:paraId="6F09A0F0" w14:textId="77777777" w:rsidR="009D554C" w:rsidRDefault="00000000">
            <w:pPr>
              <w:jc w:val="center"/>
            </w:pPr>
            <w:r>
              <w:t>0.8722 ± 0.0579</w:t>
            </w:r>
          </w:p>
        </w:tc>
      </w:tr>
      <w:tr w:rsidR="009D554C" w14:paraId="2F44B3CB" w14:textId="77777777">
        <w:trPr>
          <w:jc w:val="center"/>
        </w:trPr>
        <w:tc>
          <w:tcPr>
            <w:tcW w:w="1824" w:type="dxa"/>
          </w:tcPr>
          <w:p w14:paraId="67E843F9" w14:textId="77777777" w:rsidR="009D554C" w:rsidRDefault="00000000">
            <w:pPr>
              <w:jc w:val="center"/>
            </w:pPr>
            <w:r>
              <w:rPr>
                <w:b/>
              </w:rPr>
              <w:t>M3-ALL</w:t>
            </w:r>
          </w:p>
        </w:tc>
        <w:tc>
          <w:tcPr>
            <w:tcW w:w="1824" w:type="dxa"/>
          </w:tcPr>
          <w:p w14:paraId="54849500" w14:textId="77777777" w:rsidR="009D554C" w:rsidRDefault="00000000">
            <w:pPr>
              <w:jc w:val="center"/>
            </w:pPr>
            <w:r>
              <w:rPr>
                <w:b/>
              </w:rPr>
              <w:t>0.8330 ± 0.0385</w:t>
            </w:r>
          </w:p>
        </w:tc>
        <w:tc>
          <w:tcPr>
            <w:tcW w:w="1824" w:type="dxa"/>
          </w:tcPr>
          <w:p w14:paraId="7D551044" w14:textId="77777777" w:rsidR="009D554C" w:rsidRDefault="00000000">
            <w:pPr>
              <w:jc w:val="center"/>
            </w:pPr>
            <w:r>
              <w:t>0.7760 ± 0.0515</w:t>
            </w:r>
          </w:p>
        </w:tc>
        <w:tc>
          <w:tcPr>
            <w:tcW w:w="1824" w:type="dxa"/>
          </w:tcPr>
          <w:p w14:paraId="435DF6CA" w14:textId="77777777" w:rsidR="009D554C" w:rsidRDefault="00000000">
            <w:pPr>
              <w:jc w:val="center"/>
            </w:pPr>
            <w:r>
              <w:t>0.7917 ± 0.0458</w:t>
            </w:r>
          </w:p>
        </w:tc>
        <w:tc>
          <w:tcPr>
            <w:tcW w:w="1824" w:type="dxa"/>
          </w:tcPr>
          <w:p w14:paraId="06D1876A" w14:textId="77777777" w:rsidR="009D554C" w:rsidRDefault="00000000">
            <w:pPr>
              <w:jc w:val="center"/>
            </w:pPr>
            <w:r>
              <w:t>0.7880 ± 0.0435</w:t>
            </w:r>
          </w:p>
        </w:tc>
      </w:tr>
    </w:tbl>
    <w:p w14:paraId="79B234C1" w14:textId="77777777" w:rsidR="009D554C" w:rsidRDefault="00000000">
      <w:pPr>
        <w:spacing w:before="280"/>
        <w:jc w:val="both"/>
      </w:pPr>
      <w:r>
        <w:t>La caída más llamativa es la de la regresión logística en M2-SPNSP30 (de un AUC medio de 0.88 en M3-SPNSP a solo 0.68 aquí): este conjunto añade a cada familia Pango las 30 mutaciones de Spike y NSP12 de mayor varianza como características, y muchas de esas mutaciones aparecen casi siempre juntas porque se heredan en bloque dentro del mismo linaje: es el mismo fenómeno que en genética de poblaciones se conoce como desequilibrio de ligamiento, cuando varios alelos se transmiten unidos de generación en generación. Cuando varias variables predictoras están así de correlacionadas entre sí (lo que en estadística se llama multicolinealidad), un modelo lineal como la regresión logística no puede repartir de forma estable el peso entre ellas: pequeños cambios en los datos de entrenamiento hacen que el modelo le atribuya la señal a una mutación o a otra de forma casi arbitraria, y el resultado es un modelo inestable y con menor poder predictivo real. Un modelo basado en árboles como LightGBM no tiene este problema: en cada división solo mira una variable a la vez y elige la que mejor separa los casos en ese punto concreto, sin necesidad de repartir peso entre variables redundantes.</w:t>
      </w:r>
    </w:p>
    <w:p w14:paraId="449ED14A" w14:textId="77777777" w:rsidR="009D554C" w:rsidRDefault="00000000">
      <w:pPr>
        <w:jc w:val="both"/>
      </w:pPr>
      <w:r>
        <w:t>Contando victorias por época pandémica individual en lugar de por media (20 comparaciones en total: 4 conjuntos de datos × 5 épocas), LightGBM es el algoritmo que más veces obtiene el mejor AUC (10 de 20), por delante de la regresión logística (8 de 20); el random forest solo gana 2 de 20 y el gradient boosting genérico no gana ninguna. La Figura 4.1 muestra esta comparación completa.</w:t>
      </w:r>
    </w:p>
    <w:p w14:paraId="1BCFE36B" w14:textId="3B76033C" w:rsidR="009D554C" w:rsidRDefault="00D23153" w:rsidP="00D23153">
      <w:pPr>
        <w:keepNext/>
        <w:spacing w:before="280" w:after="80"/>
      </w:pPr>
      <w:r>
        <w:lastRenderedPageBreak/>
        <w:drawing>
          <wp:anchor distT="0" distB="0" distL="0" distR="0" simplePos="0" relativeHeight="251658243" behindDoc="0" locked="0" layoutInCell="1" allowOverlap="1" wp14:anchorId="18A8493C" wp14:editId="006B6D8F">
            <wp:simplePos x="0" y="0"/>
            <wp:positionH relativeFrom="column">
              <wp:posOffset>153035</wp:posOffset>
            </wp:positionH>
            <wp:positionV relativeFrom="paragraph">
              <wp:posOffset>396240</wp:posOffset>
            </wp:positionV>
            <wp:extent cx="5486400" cy="2692831"/>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d_benchmark_walkforward.png"/>
                    <pic:cNvPicPr/>
                  </pic:nvPicPr>
                  <pic:blipFill>
                    <a:blip r:embed="rId14"/>
                    <a:stretch>
                      <a:fillRect/>
                    </a:stretch>
                  </pic:blipFill>
                  <pic:spPr>
                    <a:xfrm>
                      <a:off x="0" y="0"/>
                      <a:ext cx="5486400" cy="2692831"/>
                    </a:xfrm>
                    <a:prstGeom prst="rect">
                      <a:avLst/>
                    </a:prstGeom>
                  </pic:spPr>
                </pic:pic>
              </a:graphicData>
            </a:graphic>
          </wp:anchor>
        </w:drawing>
      </w:r>
    </w:p>
    <w:p w14:paraId="11544A0E" w14:textId="765F275D" w:rsidR="009D554C" w:rsidRDefault="00000000">
      <w:pPr>
        <w:keepLines/>
        <w:spacing w:before="80" w:after="280"/>
        <w:jc w:val="center"/>
      </w:pPr>
      <w:r>
        <w:rPr>
          <w:b/>
        </w:rPr>
        <w:t>Figura 4.1. AUC medio de validación progresiva (± desviación típica) por algoritmo y conjunto de datos, comparando LightGBM con regresión logística, random forest y gradient boosting genérico. LightGBM es el algoritmo que más veces gana por época individual, aunque la regresión logística lo supere de media en dos de los cuatro conjuntos de datos (4.4.1).</w:t>
      </w:r>
    </w:p>
    <w:p w14:paraId="69A9A7D1" w14:textId="77777777" w:rsidR="009D554C" w:rsidRDefault="00000000">
      <w:pPr>
        <w:jc w:val="both"/>
      </w:pPr>
      <w:r>
        <w:t>La conclusión de esta comparación no es que LightGBM tenga siempre el mejor AUC, porque no lo tiene y afirmar lo contrario sería inexacto. Es, en cambio, el único de los cuatro algoritmos que rinde bien de forma consistente en las tres granularidades del sistema (clado, familia y mutación individual). La regresión logística es una alternativa razonable y más ligera específicamente para el nivel de mutación individual, pero deja de funcionar en cuanto se introducen características correlacionadas entre sí, como ocurre en M2-SPNSP30. A esto se suman los motivos prácticos ya mencionados en 3.2: LightGBM maneja de forma nativa el fuerte desbalance de clases mediante scale_pos_weight, no necesita escalar las características antes de entrenar, y su estructura de árboles es la que hace posible el análisis de interpretabilidad SHAP del capítulo de Resultados.</w:t>
      </w:r>
    </w:p>
    <w:p w14:paraId="2C97E7A0" w14:textId="77777777" w:rsidR="00AE4C5F" w:rsidRPr="00FF276E" w:rsidRDefault="00E35FF3">
      <w:pPr>
        <w:pStyle w:val="Ttulo2"/>
        <w:rPr>
          <w:color w:val="2E74B5"/>
        </w:rPr>
      </w:pPr>
      <w:bookmarkStart w:id="41" w:name="_Toc234787615"/>
      <w:bookmarkStart w:id="42" w:name="_Toc238464643"/>
      <w:r w:rsidRPr="00FF276E">
        <w:rPr>
          <w:color w:val="2E74B5"/>
        </w:rPr>
        <w:t>4.5. Configuración del análisis de supervivencia en este trabajo</w:t>
      </w:r>
      <w:bookmarkEnd w:id="41"/>
      <w:bookmarkEnd w:id="42"/>
    </w:p>
    <w:p w14:paraId="5A9DB1C6" w14:textId="77777777" w:rsidR="00AE4C5F" w:rsidRPr="00FF276E" w:rsidRDefault="00E35FF3">
      <w:pPr>
        <w:jc w:val="both"/>
      </w:pPr>
      <w:r w:rsidRPr="00FF276E">
        <w:t xml:space="preserve">En este trabajo se ajustan dos modelos Cox: uno sobre las familias Pango con covariables completas para el ajuste (n=69; 23 eventos, EPV=7.7, ligeramente por debajo del umbral clásico de EPV=10, de un universo de 435 familias observadas y 254 en el </w:t>
      </w:r>
      <w:r w:rsidRPr="006825B8">
        <w:t>conjunto de datos</w:t>
      </w:r>
      <w:r w:rsidRPr="00FF276E">
        <w:t xml:space="preserve"> de supervivencia), y otro sobre las mutaciones Spike+NSP12 con evento definido como alcanzar el 30% de frecuencia global (n=161 con covariables completas; 101 eventos sobre 637 mutaciones con detección, EPV=20.2). Ambos modelos se evalúan in-sample (sin holdout independiente) por el número limitado de eventos, y sus C-índices (0.684 y 0.679 respectivamente) deben interpretarse como medidas de bondad de ajuste y ordenación descriptiva, no como capacidad predictiva validada fuera de muestra.</w:t>
      </w:r>
    </w:p>
    <w:p>
      <w:pPr/>
      <w:r>
        <w:br w:type="page"/>
      </w:r>
    </w:p>
    <w:p w14:paraId="6E8C0B0C" w14:textId="77777777" w:rsidR="00AE4C5F" w:rsidRPr="00FF276E" w:rsidRDefault="00E35FF3">
      <w:pPr>
        <w:pStyle w:val="Ttulo1"/>
        <w:rPr>
          <w:color w:val="1F497D"/>
        </w:rPr>
      </w:pPr>
      <w:bookmarkStart w:id="43" w:name="_Toc234787616"/>
      <w:bookmarkStart w:id="44" w:name="_Toc238464644"/>
      <w:r w:rsidRPr="00FF276E">
        <w:rPr>
          <w:color w:val="1F497D"/>
        </w:rPr>
        <w:lastRenderedPageBreak/>
        <w:t>5. Datos</w:t>
      </w:r>
      <w:bookmarkEnd w:id="43"/>
      <w:bookmarkEnd w:id="44"/>
    </w:p>
    <w:p w14:paraId="0D90CAD1" w14:textId="77777777" w:rsidR="00AE4C5F" w:rsidRPr="00FF276E" w:rsidRDefault="00E35FF3">
      <w:pPr>
        <w:pStyle w:val="Ttulo2"/>
        <w:rPr>
          <w:color w:val="2E74B5"/>
        </w:rPr>
      </w:pPr>
      <w:bookmarkStart w:id="45" w:name="_Toc234787617"/>
      <w:bookmarkStart w:id="46" w:name="_Toc238464645"/>
      <w:r w:rsidRPr="00FF276E">
        <w:rPr>
          <w:color w:val="2E74B5"/>
        </w:rPr>
        <w:t>5.1. GISAID: repositorio global de secuencias</w:t>
      </w:r>
      <w:bookmarkEnd w:id="45"/>
      <w:bookmarkEnd w:id="46"/>
    </w:p>
    <w:p w14:paraId="06C1665B" w14:textId="77777777" w:rsidR="00AE4C5F" w:rsidRPr="00FF276E" w:rsidRDefault="00E35FF3">
      <w:pPr>
        <w:jc w:val="both"/>
      </w:pPr>
      <w:r>
        <w:t>GISAID (Global Initiative on Sharing All Influenza Data) es el repositorio internacional de referencia para secuencias de SARS-CoV-2. Creado en 2008 para la gripe estacional, fue adaptado para coronavirus en enero de 2020 y se ha convertido en la infraestructura de vigilancia genómica más importante de la historia de la epidemiología. Cada secuencia depositada incluye metadatos estructurados: fecha de colección, país de origen, linaje Pango, clasificación Nextclade y lista de sustituciones aminoacídicas respecto a la cepa de referencia Wuhan-Hu-1 (NC_045512.2).</w:t>
      </w:r>
    </w:p>
    <w:p w14:paraId="44806DE7" w14:textId="77777777" w:rsidR="00AE4C5F" w:rsidRPr="00FF276E" w:rsidRDefault="00E35FF3">
      <w:pPr>
        <w:jc w:val="both"/>
      </w:pPr>
      <w:r>
        <w:t>El conjunto de datos utilizado corresponde a la descarga de metadatos GISAID del 22 de febrero de 2026, que incluye 16.959.512 secuencias con fecha y clado válidos, distribuidas en 322 semanas (diciembre 2019 - febrero 2026). No se utilizan las secuencias nucleotídicas completas (ficheros FASTA, el formato de texto estándar para almacenar secuencias de ADN/ARN/proteínas, donde cada secuencia va precedida de una línea de cabecera que empieza por "&gt;"), sino únicamente los metadatos y la lista de mutaciones precomputada, lo que reduce sustancialmente el coste computacional: el procesamiento completo mediante flujo continuo requiere aproximadamente 30-50 minutos en un ordenador personal estándar, frente a las semanas que requeriría el alineamiento y análisis de las secuencias brutas.</w:t>
      </w:r>
    </w:p>
    <w:p w14:paraId="0E04FD47" w14:textId="77777777" w:rsidR="00AE4C5F" w:rsidRPr="00FF276E" w:rsidRDefault="00E35FF3">
      <w:pPr>
        <w:pStyle w:val="Ttulo2"/>
        <w:rPr>
          <w:color w:val="2E74B5"/>
        </w:rPr>
      </w:pPr>
      <w:bookmarkStart w:id="47" w:name="_Toc234787618"/>
      <w:bookmarkStart w:id="48" w:name="_Toc238464646"/>
      <w:r w:rsidRPr="00FF276E">
        <w:rPr>
          <w:color w:val="2E74B5"/>
        </w:rPr>
        <w:t>5.2. Cadena de procesamiento de datos en flujo continuo</w:t>
      </w:r>
      <w:bookmarkEnd w:id="47"/>
      <w:bookmarkEnd w:id="48"/>
    </w:p>
    <w:p w14:paraId="707555C5" w14:textId="77777777" w:rsidR="00AE4C5F" w:rsidRPr="00FF276E" w:rsidRDefault="00CF03D8">
      <w:pPr>
        <w:jc w:val="both"/>
      </w:pPr>
      <w:r w:rsidRPr="00FF276E">
        <w:t xml:space="preserve">Los cerca de 17 millones de registros se procesan en </w:t>
      </w:r>
      <w:r w:rsidRPr="006825B8">
        <w:rPr>
          <w:i/>
        </w:rPr>
        <w:t>flujo continuo</w:t>
      </w:r>
      <w:r w:rsidRPr="00FF276E">
        <w:t>, en bloques, para no cargar todo en memoria. De cada registro se conservan solo los de calidad suficiente: fecha de colección válida y posterior a 2020, linaje Pango asignado y al menos una sustitución aminoacídica anotada.</w:t>
      </w:r>
    </w:p>
    <w:p w14:paraId="6068639F" w14:textId="77777777" w:rsidR="00AE4C5F" w:rsidRPr="00FF276E" w:rsidRDefault="00CF03D8">
      <w:pPr>
        <w:jc w:val="both"/>
      </w:pPr>
      <w:r w:rsidRPr="00FF276E">
        <w:t xml:space="preserve">Los registros válidos se agregan por semana (ISO) y familia Pango, construyendo las matrices de frecuencia semanal </w:t>
      </w:r>
      <w:r w:rsidR="00E83CAF">
        <w:t>(de familias y de mutaciones Spike+NSP12)</w:t>
      </w:r>
      <w:r w:rsidRPr="00FF276E">
        <w:t xml:space="preserve"> que alimentan el resto del sistema.</w:t>
      </w:r>
    </w:p>
    <w:p w14:paraId="1FC2AABF" w14:textId="77777777" w:rsidR="00AE4C5F" w:rsidRPr="00FF276E" w:rsidRDefault="00E35FF3">
      <w:pPr>
        <w:jc w:val="both"/>
      </w:pPr>
      <w:r>
        <w:t xml:space="preserve">La exclusión del fondo genético compartido de Omicron es un paso crucial para el análisis mutacional diferencial: aproximadamente 60 mutaciones están presentes en &gt;95% de todas las secuencias Omicron y no aportan información discriminativa entre las familias actuales. Estas mutaciones se identifican como las de frecuencia global &gt;0.90 en la semana de análisis y se excluyen de la </w:t>
      </w:r>
      <w:r>
        <w:rPr>
          <w:i/>
        </w:rPr>
        <w:t>priorización</w:t>
      </w:r>
      <w:r>
        <w:t xml:space="preserve"> mutacional, mostrando únicamente las mutaciones que diferencian a una familia del fondo común de Omicron tardío.</w:t>
      </w:r>
    </w:p>
    <w:p w14:paraId="0A1D2F04" w14:textId="77777777" w:rsidR="00AE4C5F" w:rsidRPr="00FF276E" w:rsidRDefault="00E35FF3">
      <w:pPr>
        <w:pStyle w:val="Ttulo2"/>
        <w:rPr>
          <w:color w:val="2E74B5"/>
        </w:rPr>
      </w:pPr>
      <w:bookmarkStart w:id="49" w:name="_Toc234787619"/>
      <w:bookmarkStart w:id="50" w:name="_Toc238464647"/>
      <w:r w:rsidRPr="00FF276E">
        <w:rPr>
          <w:color w:val="2E74B5"/>
        </w:rPr>
        <w:t>5.3. Descripción del conjunto de datos final</w:t>
      </w:r>
      <w:bookmarkEnd w:id="49"/>
      <w:bookmarkEnd w:id="50"/>
    </w:p>
    <w:p w14:paraId="1CA166D3" w14:textId="77777777" w:rsidR="00AE4C5F" w:rsidRPr="00FF276E" w:rsidRDefault="00E35FF3">
      <w:pPr>
        <w:jc w:val="both"/>
      </w:pPr>
      <w:r w:rsidRPr="00FF276E">
        <w:t xml:space="preserve">Tras el procesamiento y la construcción de </w:t>
      </w:r>
      <w:r w:rsidRPr="006825B8">
        <w:t>características</w:t>
      </w:r>
      <w:r w:rsidRPr="00FF276E">
        <w:t xml:space="preserve">, los </w:t>
      </w:r>
      <w:r w:rsidRPr="006825B8">
        <w:t>conjuntos de datos</w:t>
      </w:r>
      <w:r w:rsidRPr="00FF276E">
        <w:t xml:space="preserve"> disponibles para el entrenamiento de los modelos son los siguientes (Tabla 5.1):</w:t>
      </w:r>
    </w:p>
    <w:p w14:paraId="76F2733B" w14:textId="77777777" w:rsidR="00237D4B" w:rsidRPr="00FF276E" w:rsidRDefault="00E35FF3">
      <w:pPr>
        <w:keepNext/>
        <w:spacing w:before="280" w:after="80"/>
        <w:jc w:val="center"/>
      </w:pPr>
      <w:r w:rsidRPr="00FF276E">
        <w:rPr>
          <w:b/>
        </w:rPr>
        <w:lastRenderedPageBreak/>
        <w:t>Tabla 5.1. Conjuntos de datos finales disponibles para el entrenamiento de los modelos, por nivel de granularidad.</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09"/>
        <w:gridCol w:w="1517"/>
        <w:gridCol w:w="1554"/>
        <w:gridCol w:w="1508"/>
        <w:gridCol w:w="1508"/>
        <w:gridCol w:w="1516"/>
      </w:tblGrid>
      <w:tr w:rsidR="00AE4C5F" w:rsidRPr="00FF276E" w14:paraId="4E058127" w14:textId="77777777">
        <w:trPr>
          <w:cantSplit/>
          <w:tblHeader/>
          <w:jc w:val="center"/>
        </w:trPr>
        <w:tc>
          <w:tcPr>
            <w:tcW w:w="1520" w:type="dxa"/>
            <w:shd w:val="clear" w:color="auto" w:fill="DCE6F1"/>
          </w:tcPr>
          <w:p w14:paraId="4E3BA2AE" w14:textId="77777777" w:rsidR="00237D4B" w:rsidRPr="00FF276E" w:rsidRDefault="00E35FF3">
            <w:r w:rsidRPr="006825B8">
              <w:rPr>
                <w:b/>
              </w:rPr>
              <w:t>Conjunto de datos</w:t>
            </w:r>
          </w:p>
        </w:tc>
        <w:tc>
          <w:tcPr>
            <w:tcW w:w="1520" w:type="dxa"/>
            <w:shd w:val="clear" w:color="auto" w:fill="DCE6F1"/>
          </w:tcPr>
          <w:p w14:paraId="60DCDDFA" w14:textId="77777777" w:rsidR="00237D4B" w:rsidRPr="00FF276E" w:rsidRDefault="00E35FF3">
            <w:r w:rsidRPr="00FF276E">
              <w:rPr>
                <w:b/>
              </w:rPr>
              <w:t>Nivel</w:t>
            </w:r>
          </w:p>
        </w:tc>
        <w:tc>
          <w:tcPr>
            <w:tcW w:w="1520" w:type="dxa"/>
            <w:shd w:val="clear" w:color="auto" w:fill="DCE6F1"/>
          </w:tcPr>
          <w:p w14:paraId="143CA7D3" w14:textId="77777777" w:rsidR="00237D4B" w:rsidRPr="00FF276E" w:rsidRDefault="00E35FF3">
            <w:r w:rsidRPr="00FF276E">
              <w:rPr>
                <w:b/>
              </w:rPr>
              <w:t>Observaciones</w:t>
            </w:r>
          </w:p>
        </w:tc>
        <w:tc>
          <w:tcPr>
            <w:tcW w:w="1520" w:type="dxa"/>
            <w:shd w:val="clear" w:color="auto" w:fill="DCE6F1"/>
          </w:tcPr>
          <w:p w14:paraId="75FF019F" w14:textId="77777777" w:rsidR="00237D4B" w:rsidRPr="00FF276E" w:rsidRDefault="00E35FF3">
            <w:r w:rsidRPr="006825B8">
              <w:rPr>
                <w:b/>
                <w:i/>
              </w:rPr>
              <w:t>Features</w:t>
            </w:r>
          </w:p>
        </w:tc>
        <w:tc>
          <w:tcPr>
            <w:tcW w:w="1520" w:type="dxa"/>
            <w:shd w:val="clear" w:color="auto" w:fill="DCE6F1"/>
          </w:tcPr>
          <w:p w14:paraId="52EE24E6" w14:textId="77777777" w:rsidR="00237D4B" w:rsidRPr="00FF276E" w:rsidRDefault="00E35FF3">
            <w:r w:rsidRPr="00FF276E">
              <w:rPr>
                <w:b/>
              </w:rPr>
              <w:t>Positivos</w:t>
            </w:r>
          </w:p>
        </w:tc>
        <w:tc>
          <w:tcPr>
            <w:tcW w:w="1520" w:type="dxa"/>
            <w:shd w:val="clear" w:color="auto" w:fill="DCE6F1"/>
          </w:tcPr>
          <w:p w14:paraId="150A7A60" w14:textId="77777777" w:rsidR="00237D4B" w:rsidRPr="00FF276E" w:rsidRDefault="00E35FF3">
            <w:r w:rsidRPr="00FF276E">
              <w:rPr>
                <w:b/>
              </w:rPr>
              <w:t>Uso</w:t>
            </w:r>
          </w:p>
        </w:tc>
      </w:tr>
      <w:tr w:rsidR="00237D4B" w:rsidRPr="00FF276E" w14:paraId="0FDA1857" w14:textId="77777777">
        <w:trPr>
          <w:cantSplit/>
          <w:jc w:val="center"/>
        </w:trPr>
        <w:tc>
          <w:tcPr>
            <w:tcW w:w="1520" w:type="dxa"/>
          </w:tcPr>
          <w:p w14:paraId="44388B8F" w14:textId="77777777" w:rsidR="00237D4B" w:rsidRPr="00FF276E" w:rsidRDefault="00E35FF3">
            <w:r w:rsidRPr="00FF276E">
              <w:t>M1</w:t>
            </w:r>
          </w:p>
        </w:tc>
        <w:tc>
          <w:tcPr>
            <w:tcW w:w="1520" w:type="dxa"/>
          </w:tcPr>
          <w:p w14:paraId="484ED759" w14:textId="77777777" w:rsidR="00237D4B" w:rsidRPr="00FF276E" w:rsidRDefault="00E35FF3">
            <w:r w:rsidRPr="00FF276E">
              <w:t>Clado Nextclade (pre-emergencia)</w:t>
            </w:r>
          </w:p>
        </w:tc>
        <w:tc>
          <w:tcPr>
            <w:tcW w:w="1554" w:type="dxa"/>
          </w:tcPr>
          <w:p w14:paraId="13A8487A" w14:textId="77777777" w:rsidR="00237D4B" w:rsidRPr="00FF276E" w:rsidRDefault="00E35FF3">
            <w:r w:rsidRPr="00FF276E">
              <w:t>1.390</w:t>
            </w:r>
          </w:p>
        </w:tc>
        <w:tc>
          <w:tcPr>
            <w:tcW w:w="1520" w:type="dxa"/>
          </w:tcPr>
          <w:p w14:paraId="39F12D50" w14:textId="77777777" w:rsidR="00237D4B" w:rsidRPr="00FF276E" w:rsidRDefault="00E35FF3">
            <w:r w:rsidRPr="00FF276E">
              <w:t>15</w:t>
            </w:r>
          </w:p>
        </w:tc>
        <w:tc>
          <w:tcPr>
            <w:tcW w:w="1520" w:type="dxa"/>
          </w:tcPr>
          <w:p w14:paraId="74642A5B" w14:textId="77777777" w:rsidR="00237D4B" w:rsidRPr="00FF276E" w:rsidRDefault="00E35FF3">
            <w:r w:rsidRPr="00FF276E">
              <w:t>28.4%</w:t>
            </w:r>
          </w:p>
        </w:tc>
        <w:tc>
          <w:tcPr>
            <w:tcW w:w="1520" w:type="dxa"/>
          </w:tcPr>
          <w:p w14:paraId="41B9CC29" w14:textId="77777777" w:rsidR="00237D4B" w:rsidRPr="00FF276E" w:rsidRDefault="00E35FF3">
            <w:r w:rsidRPr="00FF276E">
              <w:t>Vigilancia de grano grueso</w:t>
            </w:r>
          </w:p>
        </w:tc>
      </w:tr>
      <w:tr w:rsidR="00237D4B" w:rsidRPr="00FF276E" w14:paraId="7B652F2D" w14:textId="77777777">
        <w:trPr>
          <w:cantSplit/>
          <w:jc w:val="center"/>
        </w:trPr>
        <w:tc>
          <w:tcPr>
            <w:tcW w:w="1520" w:type="dxa"/>
          </w:tcPr>
          <w:p w14:paraId="3CE4741C" w14:textId="77777777" w:rsidR="00237D4B" w:rsidRPr="00FF276E" w:rsidRDefault="00E35FF3">
            <w:r w:rsidRPr="00FF276E">
              <w:t>M1-BIO</w:t>
            </w:r>
          </w:p>
        </w:tc>
        <w:tc>
          <w:tcPr>
            <w:tcW w:w="1520" w:type="dxa"/>
          </w:tcPr>
          <w:p w14:paraId="234719FC" w14:textId="77777777" w:rsidR="00237D4B" w:rsidRPr="00FF276E" w:rsidRDefault="00E35FF3">
            <w:r w:rsidRPr="00FF276E">
              <w:t>Clado Nextclade + bio</w:t>
            </w:r>
          </w:p>
        </w:tc>
        <w:tc>
          <w:tcPr>
            <w:tcW w:w="1554" w:type="dxa"/>
          </w:tcPr>
          <w:p w14:paraId="79BC9AC8" w14:textId="77777777" w:rsidR="00237D4B" w:rsidRPr="00FF276E" w:rsidRDefault="00E35FF3">
            <w:r w:rsidRPr="00FF276E">
              <w:t>1.390</w:t>
            </w:r>
          </w:p>
        </w:tc>
        <w:tc>
          <w:tcPr>
            <w:tcW w:w="1520" w:type="dxa"/>
          </w:tcPr>
          <w:p w14:paraId="538ADA60" w14:textId="77777777" w:rsidR="00237D4B" w:rsidRPr="00FF276E" w:rsidRDefault="00E35FF3">
            <w:r w:rsidRPr="00FF276E">
              <w:t>21</w:t>
            </w:r>
          </w:p>
        </w:tc>
        <w:tc>
          <w:tcPr>
            <w:tcW w:w="1520" w:type="dxa"/>
          </w:tcPr>
          <w:p w14:paraId="10E86820" w14:textId="77777777" w:rsidR="00237D4B" w:rsidRPr="00FF276E" w:rsidRDefault="00E35FF3">
            <w:r w:rsidRPr="00FF276E">
              <w:t>28.4%</w:t>
            </w:r>
          </w:p>
        </w:tc>
        <w:tc>
          <w:tcPr>
            <w:tcW w:w="1520" w:type="dxa"/>
          </w:tcPr>
          <w:p w14:paraId="3EEF3F89" w14:textId="77777777" w:rsidR="00237D4B" w:rsidRPr="00FF276E" w:rsidRDefault="00E35FF3">
            <w:r w:rsidRPr="00FF276E">
              <w:t>M1 + perfil biológico</w:t>
            </w:r>
          </w:p>
        </w:tc>
      </w:tr>
      <w:tr w:rsidR="00237D4B" w:rsidRPr="00FF276E" w14:paraId="2E889991" w14:textId="77777777">
        <w:trPr>
          <w:cantSplit/>
          <w:jc w:val="center"/>
        </w:trPr>
        <w:tc>
          <w:tcPr>
            <w:tcW w:w="1520" w:type="dxa"/>
          </w:tcPr>
          <w:p w14:paraId="73CFCB54" w14:textId="77777777" w:rsidR="00237D4B" w:rsidRPr="00FF276E" w:rsidRDefault="00E35FF3">
            <w:r w:rsidRPr="00FF276E">
              <w:t>M1-SPNSP</w:t>
            </w:r>
          </w:p>
        </w:tc>
        <w:tc>
          <w:tcPr>
            <w:tcW w:w="1520" w:type="dxa"/>
          </w:tcPr>
          <w:p w14:paraId="05B84AA2" w14:textId="77777777" w:rsidR="00237D4B" w:rsidRPr="00FF276E" w:rsidRDefault="00E35FF3">
            <w:r w:rsidRPr="00FF276E">
              <w:t>Clado Nextclade + bio + mut</w:t>
            </w:r>
          </w:p>
        </w:tc>
        <w:tc>
          <w:tcPr>
            <w:tcW w:w="1554" w:type="dxa"/>
          </w:tcPr>
          <w:p w14:paraId="0A13D8BC" w14:textId="77777777" w:rsidR="00237D4B" w:rsidRPr="00FF276E" w:rsidRDefault="00E35FF3">
            <w:r w:rsidRPr="00FF276E">
              <w:t>1.390</w:t>
            </w:r>
          </w:p>
        </w:tc>
        <w:tc>
          <w:tcPr>
            <w:tcW w:w="1520" w:type="dxa"/>
          </w:tcPr>
          <w:p w14:paraId="366E5A65" w14:textId="77777777" w:rsidR="00237D4B" w:rsidRPr="00FF276E" w:rsidRDefault="00E35FF3">
            <w:r w:rsidRPr="00FF276E">
              <w:t>51</w:t>
            </w:r>
          </w:p>
        </w:tc>
        <w:tc>
          <w:tcPr>
            <w:tcW w:w="1520" w:type="dxa"/>
          </w:tcPr>
          <w:p w14:paraId="428EB413" w14:textId="77777777" w:rsidR="00237D4B" w:rsidRPr="00FF276E" w:rsidRDefault="00E35FF3">
            <w:r w:rsidRPr="00FF276E">
              <w:t>28.4%</w:t>
            </w:r>
          </w:p>
        </w:tc>
        <w:tc>
          <w:tcPr>
            <w:tcW w:w="1520" w:type="dxa"/>
          </w:tcPr>
          <w:p w14:paraId="779F1F81" w14:textId="77777777" w:rsidR="00237D4B" w:rsidRPr="00FF276E" w:rsidRDefault="00E35FF3">
            <w:r w:rsidRPr="00FF276E">
              <w:t>M1 + mutaciones Spike/NSP12</w:t>
            </w:r>
          </w:p>
        </w:tc>
      </w:tr>
      <w:tr w:rsidR="00237D4B" w:rsidRPr="00FF276E" w14:paraId="6BE0286A" w14:textId="77777777">
        <w:trPr>
          <w:cantSplit/>
          <w:jc w:val="center"/>
        </w:trPr>
        <w:tc>
          <w:tcPr>
            <w:tcW w:w="1520" w:type="dxa"/>
          </w:tcPr>
          <w:p w14:paraId="49781356" w14:textId="77777777" w:rsidR="00237D4B" w:rsidRPr="00FF276E" w:rsidRDefault="00E35FF3">
            <w:r w:rsidRPr="00FF276E">
              <w:t>M2</w:t>
            </w:r>
          </w:p>
        </w:tc>
        <w:tc>
          <w:tcPr>
            <w:tcW w:w="1520" w:type="dxa"/>
          </w:tcPr>
          <w:p w14:paraId="1E8AA4E8" w14:textId="77777777" w:rsidR="00237D4B" w:rsidRPr="00FF276E" w:rsidRDefault="00E35FF3">
            <w:r w:rsidRPr="00FF276E">
              <w:t>Familia Pango</w:t>
            </w:r>
          </w:p>
        </w:tc>
        <w:tc>
          <w:tcPr>
            <w:tcW w:w="1554" w:type="dxa"/>
          </w:tcPr>
          <w:p w14:paraId="47E529E1" w14:textId="77777777" w:rsidR="00237D4B" w:rsidRPr="00FF276E" w:rsidRDefault="00E35FF3">
            <w:r w:rsidRPr="00FF276E">
              <w:t>12.355</w:t>
            </w:r>
          </w:p>
        </w:tc>
        <w:tc>
          <w:tcPr>
            <w:tcW w:w="1520" w:type="dxa"/>
          </w:tcPr>
          <w:p w14:paraId="3D846F29" w14:textId="77777777" w:rsidR="00237D4B" w:rsidRPr="00FF276E" w:rsidRDefault="00E35FF3">
            <w:r w:rsidRPr="00FF276E">
              <w:t>21</w:t>
            </w:r>
          </w:p>
        </w:tc>
        <w:tc>
          <w:tcPr>
            <w:tcW w:w="1520" w:type="dxa"/>
          </w:tcPr>
          <w:p w14:paraId="1CA94A3E" w14:textId="77777777" w:rsidR="00237D4B" w:rsidRPr="00FF276E" w:rsidRDefault="00E35FF3">
            <w:r w:rsidRPr="00FF276E">
              <w:t>13.5%</w:t>
            </w:r>
          </w:p>
        </w:tc>
        <w:tc>
          <w:tcPr>
            <w:tcW w:w="1520" w:type="dxa"/>
          </w:tcPr>
          <w:p w14:paraId="2591F7E7" w14:textId="77777777" w:rsidR="00237D4B" w:rsidRPr="00FF276E" w:rsidRDefault="00E35FF3">
            <w:r w:rsidRPr="00FF276E">
              <w:t>Modelo principal de vigilancia</w:t>
            </w:r>
          </w:p>
        </w:tc>
      </w:tr>
      <w:tr w:rsidR="00237D4B" w:rsidRPr="00FF276E" w14:paraId="5F8AFDEE" w14:textId="77777777">
        <w:trPr>
          <w:cantSplit/>
          <w:jc w:val="center"/>
        </w:trPr>
        <w:tc>
          <w:tcPr>
            <w:tcW w:w="1520" w:type="dxa"/>
          </w:tcPr>
          <w:p w14:paraId="117B6000" w14:textId="77777777" w:rsidR="00237D4B" w:rsidRPr="00FF276E" w:rsidRDefault="00E35FF3">
            <w:r w:rsidRPr="00FF276E">
              <w:t>M2-SPNSP30</w:t>
            </w:r>
          </w:p>
        </w:tc>
        <w:tc>
          <w:tcPr>
            <w:tcW w:w="1520" w:type="dxa"/>
          </w:tcPr>
          <w:p w14:paraId="451E8C48" w14:textId="77777777" w:rsidR="00237D4B" w:rsidRPr="00FF276E" w:rsidRDefault="00E35FF3">
            <w:r w:rsidRPr="00FF276E">
              <w:t>Familia Pango + mut</w:t>
            </w:r>
          </w:p>
        </w:tc>
        <w:tc>
          <w:tcPr>
            <w:tcW w:w="1554" w:type="dxa"/>
          </w:tcPr>
          <w:p w14:paraId="3FF88D68" w14:textId="77777777" w:rsidR="00237D4B" w:rsidRPr="00FF276E" w:rsidRDefault="00E35FF3">
            <w:r w:rsidRPr="00FF276E">
              <w:t>12.355</w:t>
            </w:r>
          </w:p>
        </w:tc>
        <w:tc>
          <w:tcPr>
            <w:tcW w:w="1520" w:type="dxa"/>
          </w:tcPr>
          <w:p w14:paraId="3D55B429" w14:textId="77777777" w:rsidR="00237D4B" w:rsidRPr="00FF276E" w:rsidRDefault="00E35FF3">
            <w:r w:rsidRPr="00FF276E">
              <w:t>51</w:t>
            </w:r>
          </w:p>
        </w:tc>
        <w:tc>
          <w:tcPr>
            <w:tcW w:w="1520" w:type="dxa"/>
          </w:tcPr>
          <w:p w14:paraId="1BED5985" w14:textId="77777777" w:rsidR="00237D4B" w:rsidRPr="00FF276E" w:rsidRDefault="00E35FF3">
            <w:r w:rsidRPr="00FF276E">
              <w:t>13.5%</w:t>
            </w:r>
          </w:p>
        </w:tc>
        <w:tc>
          <w:tcPr>
            <w:tcW w:w="1520" w:type="dxa"/>
          </w:tcPr>
          <w:p w14:paraId="7B9007DF" w14:textId="77777777" w:rsidR="00237D4B" w:rsidRPr="00FF276E" w:rsidRDefault="00E35FF3">
            <w:r w:rsidRPr="00FF276E">
              <w:t>M2 + señal mutacional</w:t>
            </w:r>
          </w:p>
        </w:tc>
      </w:tr>
      <w:tr w:rsidR="00237D4B" w:rsidRPr="00FF276E" w14:paraId="1017EED4" w14:textId="77777777">
        <w:trPr>
          <w:cantSplit/>
          <w:jc w:val="center"/>
        </w:trPr>
        <w:tc>
          <w:tcPr>
            <w:tcW w:w="1520" w:type="dxa"/>
          </w:tcPr>
          <w:p w14:paraId="723C807B" w14:textId="77777777" w:rsidR="00237D4B" w:rsidRPr="00FF276E" w:rsidRDefault="00E35FF3">
            <w:r w:rsidRPr="00FF276E">
              <w:t>M3-SPNSP</w:t>
            </w:r>
          </w:p>
        </w:tc>
        <w:tc>
          <w:tcPr>
            <w:tcW w:w="1520" w:type="dxa"/>
          </w:tcPr>
          <w:p w14:paraId="1619D38A" w14:textId="77777777" w:rsidR="00237D4B" w:rsidRPr="00FF276E" w:rsidRDefault="00E35FF3">
            <w:r w:rsidRPr="00FF276E">
              <w:t>Mutación Spike+NSP12</w:t>
            </w:r>
          </w:p>
        </w:tc>
        <w:tc>
          <w:tcPr>
            <w:tcW w:w="1554" w:type="dxa"/>
          </w:tcPr>
          <w:p w14:paraId="77D51B7D" w14:textId="77777777" w:rsidR="00237D4B" w:rsidRPr="00FF276E" w:rsidRDefault="00E35FF3">
            <w:r w:rsidRPr="00FF276E">
              <w:t>104.461</w:t>
            </w:r>
          </w:p>
        </w:tc>
        <w:tc>
          <w:tcPr>
            <w:tcW w:w="1520" w:type="dxa"/>
          </w:tcPr>
          <w:p w14:paraId="458C79C1" w14:textId="77777777" w:rsidR="00237D4B" w:rsidRPr="00FF276E" w:rsidRDefault="00E35FF3">
            <w:r w:rsidRPr="00FF276E">
              <w:t>16</w:t>
            </w:r>
          </w:p>
        </w:tc>
        <w:tc>
          <w:tcPr>
            <w:tcW w:w="1520" w:type="dxa"/>
          </w:tcPr>
          <w:p w14:paraId="3927B7F5" w14:textId="77777777" w:rsidR="00237D4B" w:rsidRPr="00FF276E" w:rsidRDefault="00E35FF3">
            <w:r w:rsidRPr="00FF276E">
              <w:t>19.1%</w:t>
            </w:r>
          </w:p>
        </w:tc>
        <w:tc>
          <w:tcPr>
            <w:tcW w:w="1520" w:type="dxa"/>
          </w:tcPr>
          <w:p w14:paraId="43C8F97C" w14:textId="77777777" w:rsidR="00237D4B" w:rsidRPr="00FF276E" w:rsidRDefault="00E35FF3">
            <w:r w:rsidRPr="00FF276E">
              <w:t>Vigilancia mutacional (mejor AUC)</w:t>
            </w:r>
          </w:p>
        </w:tc>
      </w:tr>
      <w:tr w:rsidR="00237D4B" w:rsidRPr="00FF276E" w14:paraId="2291CA07" w14:textId="77777777">
        <w:trPr>
          <w:cantSplit/>
          <w:jc w:val="center"/>
        </w:trPr>
        <w:tc>
          <w:tcPr>
            <w:tcW w:w="1520" w:type="dxa"/>
          </w:tcPr>
          <w:p w14:paraId="0131FA42" w14:textId="77777777" w:rsidR="00237D4B" w:rsidRPr="00FF276E" w:rsidRDefault="00E35FF3">
            <w:r w:rsidRPr="00FF276E">
              <w:t>M3-ALL</w:t>
            </w:r>
          </w:p>
        </w:tc>
        <w:tc>
          <w:tcPr>
            <w:tcW w:w="1520" w:type="dxa"/>
          </w:tcPr>
          <w:p w14:paraId="755A7523" w14:textId="77777777" w:rsidR="00237D4B" w:rsidRPr="00FF276E" w:rsidRDefault="00E35FF3">
            <w:r w:rsidRPr="00FF276E">
              <w:t>Mutación (todo el genoma)</w:t>
            </w:r>
          </w:p>
        </w:tc>
        <w:tc>
          <w:tcPr>
            <w:tcW w:w="1554" w:type="dxa"/>
          </w:tcPr>
          <w:p w14:paraId="2A4CC4A4" w14:textId="77777777" w:rsidR="00237D4B" w:rsidRPr="00FF276E" w:rsidRDefault="00E35FF3">
            <w:r w:rsidRPr="00FF276E">
              <w:t>424.293</w:t>
            </w:r>
          </w:p>
        </w:tc>
        <w:tc>
          <w:tcPr>
            <w:tcW w:w="1520" w:type="dxa"/>
          </w:tcPr>
          <w:p w14:paraId="5E208F6F" w14:textId="77777777" w:rsidR="00237D4B" w:rsidRPr="00FF276E" w:rsidRDefault="00E35FF3">
            <w:r w:rsidRPr="00FF276E">
              <w:t>17</w:t>
            </w:r>
          </w:p>
        </w:tc>
        <w:tc>
          <w:tcPr>
            <w:tcW w:w="1520" w:type="dxa"/>
          </w:tcPr>
          <w:p w14:paraId="222B7695" w14:textId="77777777" w:rsidR="00237D4B" w:rsidRPr="00FF276E" w:rsidRDefault="00E35FF3">
            <w:r w:rsidRPr="00FF276E">
              <w:t>14.0%</w:t>
            </w:r>
          </w:p>
        </w:tc>
        <w:tc>
          <w:tcPr>
            <w:tcW w:w="1520" w:type="dxa"/>
          </w:tcPr>
          <w:p w14:paraId="78710320" w14:textId="77777777" w:rsidR="00237D4B" w:rsidRPr="00FF276E" w:rsidRDefault="00E35FF3">
            <w:r w:rsidRPr="00FF276E">
              <w:t>Genoma completo, señal diluida</w:t>
            </w:r>
          </w:p>
        </w:tc>
      </w:tr>
    </w:tbl>
    <w:p w14:paraId="79F73F84" w14:textId="77777777" w:rsidR="00AE4C5F" w:rsidRPr="00FF276E" w:rsidRDefault="00E35FF3">
      <w:pPr>
        <w:jc w:val="both"/>
      </w:pPr>
      <w:r w:rsidRPr="00FF276E">
        <w:t xml:space="preserve">El </w:t>
      </w:r>
      <w:r w:rsidRPr="006825B8">
        <w:t>conjunto de datos</w:t>
      </w:r>
      <w:r w:rsidRPr="00FF276E">
        <w:t xml:space="preserve"> M2 contiene 435 familias Pango distintas (de 448 identificadas en el </w:t>
      </w:r>
      <w:r w:rsidRPr="006825B8">
        <w:rPr>
          <w:i/>
        </w:rPr>
        <w:t>flujo continuo</w:t>
      </w:r>
      <w:r w:rsidRPr="00FF276E">
        <w:t xml:space="preserve">) observadas entre 2020 y 2026, con 12.355 observaciones (familia, semana) construidas con un mínimo de 3 secuencias por semana (MIN_SEQS=3, reducido desde 10 para capturar la fase de incubación temprana de cada familia). La </w:t>
      </w:r>
      <w:r w:rsidRPr="006825B8">
        <w:rPr>
          <w:i/>
        </w:rPr>
        <w:t>partición</w:t>
      </w:r>
      <w:r w:rsidRPr="00FF276E">
        <w:t xml:space="preserve"> temporal fija divide este </w:t>
      </w:r>
      <w:r w:rsidRPr="006825B8">
        <w:t>conjunto de datos</w:t>
      </w:r>
      <w:r w:rsidRPr="00FF276E">
        <w:t xml:space="preserve"> en 6.114 observaciones </w:t>
      </w:r>
      <w:r w:rsidR="00002F08" w:rsidRPr="00002F08">
        <w:rPr>
          <w:rFonts w:cs="Calibri"/>
        </w:rPr>
        <w:t>pre-corte</w:t>
      </w:r>
      <w:r w:rsidRPr="00FF276E">
        <w:t xml:space="preserve"> (semanas &lt; 2023-06-01</w:t>
      </w:r>
      <w:r w:rsidR="00002F08">
        <w:t>; 5.775 efectivas tras el embargo temporal GAP</w:t>
      </w:r>
      <w:r w:rsidRPr="00FF276E">
        <w:t xml:space="preserve">) y 6.241 de </w:t>
      </w:r>
      <w:r w:rsidRPr="002D0178">
        <w:rPr>
          <w:i/>
        </w:rPr>
        <w:t>test</w:t>
      </w:r>
      <w:r w:rsidRPr="00FF276E">
        <w:t xml:space="preserve"> (semanas &gt;= 2023-06-01). La proporción de positivos es del 13.9% en </w:t>
      </w:r>
      <w:r w:rsidRPr="002D0178">
        <w:rPr>
          <w:i/>
        </w:rPr>
        <w:t>train</w:t>
      </w:r>
      <w:r w:rsidRPr="00FF276E">
        <w:t xml:space="preserve"> y del 13.1% en </w:t>
      </w:r>
      <w:r w:rsidRPr="002D0178">
        <w:rPr>
          <w:i/>
        </w:rPr>
        <w:t>test</w:t>
      </w:r>
      <w:r w:rsidRPr="00FF276E">
        <w:t xml:space="preserve"> (</w:t>
      </w:r>
      <w:r w:rsidRPr="006825B8">
        <w:rPr>
          <w:i/>
        </w:rPr>
        <w:t>variable objetivo</w:t>
      </w:r>
      <w:r w:rsidRPr="00FF276E">
        <w:t>: la familia alcanza el 5% de frecuencia global en algún momento posterior), confirmando que el desbalanceo es estable en el tiempo.</w:t>
      </w:r>
    </w:p>
    <w:p w14:paraId="1D4C96A1" w14:textId="77777777" w:rsidR="00AE4C5F" w:rsidRPr="00FF276E" w:rsidRDefault="00E35FF3" w:rsidP="00E27907">
      <w:pPr>
        <w:jc w:val="both"/>
      </w:pPr>
      <w:r w:rsidRPr="00FF276E">
        <w:lastRenderedPageBreak/>
        <w:t xml:space="preserve">El </w:t>
      </w:r>
      <w:r w:rsidRPr="006825B8">
        <w:t>conjunto de datos</w:t>
      </w:r>
      <w:r w:rsidRPr="00FF276E">
        <w:t xml:space="preserve"> M3-SPNSP considera las mutaciones de Spike y NSP12 dentro del universo de 2.279 posiciones mutacionales con señal real detectada en el </w:t>
      </w:r>
      <w:r w:rsidRPr="006825B8">
        <w:rPr>
          <w:i/>
        </w:rPr>
        <w:t>flujo continuo</w:t>
      </w:r>
      <w:r w:rsidRPr="00FF276E">
        <w:t xml:space="preserve">. Cada observación es (mutación, semana), con 104.461 filas totales (53.564 </w:t>
      </w:r>
      <w:r w:rsidRPr="002D0178">
        <w:rPr>
          <w:i/>
        </w:rPr>
        <w:t>train</w:t>
      </w:r>
      <w:r w:rsidRPr="00FF276E">
        <w:t xml:space="preserve"> / 50.897 </w:t>
      </w:r>
      <w:r w:rsidRPr="002D0178">
        <w:rPr>
          <w:i/>
        </w:rPr>
        <w:t>test</w:t>
      </w:r>
      <w:r w:rsidRPr="00FF276E">
        <w:t xml:space="preserve">) y 16 </w:t>
      </w:r>
      <w:r w:rsidRPr="006825B8">
        <w:t>características</w:t>
      </w:r>
      <w:r w:rsidRPr="00FF276E">
        <w:t>. El umbral de dominancia para M3-SPNSP es el 10% de frecuencia global (más restrictivo que el 5% usado en M1/M2/M3-ALL) para centrarse en mutaciones de genuino impacto pandémico en Spike/NSP12.</w:t>
      </w:r>
    </w:p>
    <w:p w14:paraId="1E3B52B7" w14:textId="77777777" w:rsidR="00161FE3" w:rsidRDefault="00000000">
      <w:r>
        <w:br w:type="page"/>
      </w:r>
    </w:p>
    <w:p w14:paraId="64E1011B" w14:textId="77777777" w:rsidR="00AE4C5F" w:rsidRPr="00FF276E" w:rsidRDefault="00E35FF3">
      <w:pPr>
        <w:pStyle w:val="Ttulo1"/>
        <w:rPr>
          <w:color w:val="1F497D"/>
        </w:rPr>
      </w:pPr>
      <w:bookmarkStart w:id="51" w:name="_Toc234787620"/>
      <w:bookmarkStart w:id="52" w:name="_Toc238464648"/>
      <w:r w:rsidRPr="00FF276E">
        <w:rPr>
          <w:color w:val="1F497D"/>
        </w:rPr>
        <w:lastRenderedPageBreak/>
        <w:t>6. Ingeniería de características</w:t>
      </w:r>
      <w:bookmarkEnd w:id="51"/>
      <w:bookmarkEnd w:id="52"/>
    </w:p>
    <w:p w14:paraId="26F465B7" w14:textId="77777777" w:rsidR="00AE4C5F" w:rsidRPr="00FF276E" w:rsidRDefault="00E35FF3">
      <w:pPr>
        <w:jc w:val="both"/>
      </w:pPr>
      <w:r w:rsidRPr="00FF276E">
        <w:t xml:space="preserve">La ingeniería de características es el proceso de transformar los datos brutos (frecuencias semanales de variantes y listas de mutaciones) en representaciones numéricas que capturen la información relevante para la predicción. En este trabajo se definen tres grupos de </w:t>
      </w:r>
      <w:r w:rsidRPr="006825B8">
        <w:t>características</w:t>
      </w:r>
      <w:r w:rsidRPr="00FF276E">
        <w:t xml:space="preserve"> que responden a preguntas biológicas distintas:</w:t>
      </w:r>
    </w:p>
    <w:p w14:paraId="08EEEF75" w14:textId="77777777" w:rsidR="00AE4C5F" w:rsidRPr="00FF276E" w:rsidRDefault="00E35FF3">
      <w:pPr>
        <w:pStyle w:val="Ttulo2"/>
        <w:rPr>
          <w:color w:val="2E74B5"/>
        </w:rPr>
      </w:pPr>
      <w:bookmarkStart w:id="53" w:name="_Toc234787621"/>
      <w:bookmarkStart w:id="54" w:name="_Toc238464649"/>
      <w:r w:rsidRPr="00FF276E">
        <w:rPr>
          <w:color w:val="2E74B5"/>
        </w:rPr>
        <w:t>6.1. Características temporales (15 variables)</w:t>
      </w:r>
      <w:bookmarkEnd w:id="53"/>
      <w:bookmarkEnd w:id="54"/>
    </w:p>
    <w:p w14:paraId="5165040A" w14:textId="77777777" w:rsidR="00AE4C5F" w:rsidRPr="00FF276E" w:rsidRDefault="00E83CAF">
      <w:pPr>
        <w:jc w:val="both"/>
      </w:pPr>
      <w:r>
        <w:rPr/>
        <w:t xml:space="preserve">Las </w:t>
      </w:r>
      <w:r>
        <w:rPr/>
        <w:t>características</w:t>
      </w:r>
      <w:r>
        <w:rPr/>
        <w:t xml:space="preserve"> temporales capturan la dinámica de crecimiento de cada familia en las semanas previas a la predicción, de forma análoga a los indicadores técnicos de las finanzas cuantitativas (por ejemplo, medias móviles o tasas de crecimiento de una cotización) adaptados al contexto viral, agrupadas en cinco categorías: nivel de frecuencia actual, tendencia, crecimiento logarítmico (un </w:t>
      </w:r>
      <w:r>
        <w:rPr>
          <w:i/>
        </w:rPr>
        <w:t>proxy</w:t>
      </w:r>
      <w:r>
        <w:rPr/>
        <w:t xml:space="preserve"> directo de la ventaja de </w:t>
      </w:r>
      <w:r>
        <w:rPr>
          <w:i/>
        </w:rPr>
        <w:t>eficacia biológica</w:t>
      </w:r>
      <w:r>
        <w:rPr/>
        <w:t xml:space="preserve">), persistencia/madurez y expansión geográfica (listado completo de las 15 variables en el </w:t>
      </w:r>
      <w:hyperlink w:anchor="apxB1" w:history="1">
        <w:r>
          <w:rPr>
            <w:rStyle w:val="Hipervnculo"/>
          </w:rPr>
          <w:t>Apéndice B.1</w:t>
        </w:r>
      </w:hyperlink>
      <w:r>
        <w:rPr/>
        <w:t xml:space="preserve">).</w:t>
      </w:r>
    </w:p>
    <w:p w14:paraId="2B58D7BD" w14:textId="77777777" w:rsidR="00AE4C5F" w:rsidRPr="00FF276E" w:rsidRDefault="00E35FF3">
      <w:pPr>
        <w:jc w:val="both"/>
      </w:pPr>
      <w:r w:rsidRPr="00FF276E">
        <w:t xml:space="preserve">La </w:t>
      </w:r>
      <w:r w:rsidRPr="006825B8">
        <w:t>característica</w:t>
      </w:r>
      <w:r w:rsidRPr="00FF276E">
        <w:t xml:space="preserve"> age_weeks es interesante de comentar en el contexto de M2: el análisis SHAP (7.2.3) la sitúa como la segunda </w:t>
      </w:r>
      <w:r w:rsidRPr="006825B8">
        <w:t>característica</w:t>
      </w:r>
      <w:r w:rsidRPr="00FF276E">
        <w:t xml:space="preserve"> de mayor peso (|SHAP|=0.5412), justo detrás de n_escape_muts (0.6417) y por delante de mean_spike_muts (0.4358) y freq_t0 (0.3663). La antigüedad de la variante es informativa, pero no domina por sí sola: el perfil de escape inmune acumulado (una </w:t>
      </w:r>
      <w:r w:rsidRPr="006825B8">
        <w:t>característica</w:t>
      </w:r>
      <w:r w:rsidRPr="00FF276E">
        <w:t xml:space="preserve"> biológica, no temporal) es el predictor más fuerte de M2, lo que confirma que el modelo combina ambos tipos de señal en vez de apoyarse solo en la persistencia temporal de la variante.</w:t>
      </w:r>
    </w:p>
    <w:p w14:paraId="0A593AEA" w14:textId="77777777" w:rsidR="00AE4C5F" w:rsidRPr="00FF276E" w:rsidRDefault="00E35FF3">
      <w:pPr>
        <w:pStyle w:val="Ttulo2"/>
        <w:rPr>
          <w:color w:val="2E74B5"/>
        </w:rPr>
      </w:pPr>
      <w:bookmarkStart w:id="55" w:name="_Toc234787622"/>
      <w:bookmarkStart w:id="56" w:name="_Toc238464650"/>
      <w:r w:rsidRPr="00FF276E">
        <w:rPr>
          <w:color w:val="2E74B5"/>
        </w:rPr>
        <w:t>6.2. Características biológicas (6 variables)</w:t>
      </w:r>
      <w:bookmarkEnd w:id="55"/>
      <w:bookmarkEnd w:id="56"/>
    </w:p>
    <w:p w14:paraId="1C35E0E7" w14:textId="77777777" w:rsidR="00AE4C5F" w:rsidRPr="00FF276E" w:rsidRDefault="00EC241F">
      <w:pPr>
        <w:jc w:val="both"/>
      </w:pPr>
      <w:r w:rsidRPr="00FF276E">
        <w:t xml:space="preserve">Las </w:t>
      </w:r>
      <w:r w:rsidRPr="006825B8">
        <w:t>características</w:t>
      </w:r>
      <w:r w:rsidRPr="00FF276E">
        <w:t xml:space="preserve"> biológicas codifican propiedades intrínsecas del perfil mutacional de cada familia, independientes del tiempo, que capturan su potencial de escape inmune y de </w:t>
      </w:r>
      <w:r w:rsidRPr="006825B8">
        <w:rPr>
          <w:i/>
        </w:rPr>
        <w:t>eficacia biológica</w:t>
      </w:r>
      <w:r w:rsidRPr="00FF276E">
        <w:t xml:space="preserve"> replicativa: el número de mutaciones en Spike y en NSP12 (divergencia acumulada y cambios en la replicación), las situadas en epítopos de anticuerpos, en el dominio RBD y en el sitio de corte de furina (presión selectiva inmunitaria y capacidad de fusión), y la diversidad mutacional interna de la familia (indicio de evolución activa).</w:t>
      </w:r>
    </w:p>
    <w:p w14:paraId="5A01B2BE" w14:textId="77777777" w:rsidR="00AE4C5F" w:rsidRPr="00FF276E" w:rsidRDefault="00AE4C5F">
      <w:pPr>
        <w:jc w:val="both"/>
      </w:pPr>
    </w:p>
    <w:p w14:paraId="0E32FF0A" w14:textId="77777777" w:rsidR="00AE4C5F" w:rsidRPr="00FF276E" w:rsidRDefault="00E35FF3">
      <w:pPr>
        <w:pStyle w:val="Ttulo2"/>
        <w:rPr>
          <w:color w:val="2E74B5"/>
        </w:rPr>
      </w:pPr>
      <w:bookmarkStart w:id="57" w:name="_Toc234787623"/>
      <w:bookmarkStart w:id="58" w:name="_Toc238464651"/>
      <w:r w:rsidRPr="00FF276E">
        <w:rPr>
          <w:color w:val="2E74B5"/>
        </w:rPr>
        <w:t>6.3. Características mutacionales Spike+NSP12 (30 variables)</w:t>
      </w:r>
      <w:bookmarkEnd w:id="57"/>
      <w:bookmarkEnd w:id="58"/>
    </w:p>
    <w:p w14:paraId="556ED835" w14:textId="77777777" w:rsidR="00AE4C5F" w:rsidRPr="00FF276E" w:rsidRDefault="008A0565">
      <w:pPr>
        <w:jc w:val="both"/>
      </w:pPr>
      <w:r w:rsidRPr="00FF276E">
        <w:t xml:space="preserve">Para los conjuntos de datos M2-SPNSP30 y M3-SPNSP se añaden las frecuencias </w:t>
      </w:r>
      <w:r w:rsidRPr="006825B8">
        <w:rPr>
          <w:i/>
        </w:rPr>
        <w:t>within-family</w:t>
      </w:r>
      <w:r w:rsidRPr="00FF276E">
        <w:t xml:space="preserve"> de las 30 mutaciones de Spike y NSP12 más informativas. Partiendo de las 2.279 mutaciones con señal real, se descarta el fondo Omicron compartido (presente en más del 90% de las secuencias) y se retienen las 30 que mejor diferencian unas familias de otras (mayor variación entre familias activas).</w:t>
      </w:r>
    </w:p>
    <w:p w14:paraId="18693E3A" w14:textId="77777777" w:rsidR="00AE4C5F" w:rsidRPr="00FF276E" w:rsidRDefault="00E35FF3">
      <w:pPr>
        <w:jc w:val="both"/>
      </w:pPr>
      <w:r w:rsidRPr="00FF276E">
        <w:t xml:space="preserve">Un hallazgo relevante es que añadir estas 30 </w:t>
      </w:r>
      <w:r w:rsidRPr="006825B8">
        <w:t>características</w:t>
      </w:r>
      <w:r w:rsidRPr="00FF276E">
        <w:t xml:space="preserve"> mutacionales al conjunto de datos M2 empeora ligeramente el AUC en </w:t>
      </w:r>
      <w:r w:rsidRPr="002D0178">
        <w:rPr>
          <w:i/>
        </w:rPr>
        <w:t>test</w:t>
      </w:r>
      <w:r w:rsidRPr="00FF276E">
        <w:t xml:space="preserve"> (M2: 0.8855 -&gt; M2-SPNSP30: 0.8746) y de forma más marcada en </w:t>
      </w:r>
      <w:r w:rsidRPr="000E2107">
        <w:rPr>
          <w:i/>
        </w:rPr>
        <w:t xml:space="preserve">validación </w:t>
      </w:r>
      <w:r w:rsidRPr="000E2107">
        <w:rPr>
          <w:i/>
        </w:rPr>
        <w:lastRenderedPageBreak/>
        <w:t>progresiva</w:t>
      </w:r>
      <w:r w:rsidRPr="00FF276E">
        <w:t xml:space="preserve"> (M2: 0.8772 -&gt; M2-SPNSP30: 0.8265). Este resultado, aparentemente contraintuitivo, tiene una explicación metodológica: las </w:t>
      </w:r>
      <w:r w:rsidRPr="006825B8">
        <w:t>características</w:t>
      </w:r>
      <w:r w:rsidRPr="00FF276E">
        <w:t xml:space="preserve"> mutacionales son muy específicas del contexto de una época pandémica concreta y generalizan peor a épocas futuras con perfiles mutacionales distintos. El caso extremo es el fold XBB, donde M2-SPNSP30 cae a AUC=0.6972 mientras M2 puro se mantiene en 0.8767: las mutaciones informativas durante BA.4/5 no son las mismas que durante XBB. En contraste, las </w:t>
      </w:r>
      <w:r w:rsidRPr="006825B8">
        <w:t>características</w:t>
      </w:r>
      <w:r w:rsidRPr="00FF276E">
        <w:t xml:space="preserve"> temporales de M2 son más universales: el crecimiento log-lineal funciona de forma parecida en Alpha que en XFG. Esta observación, junto con la regularización más fuerte aplicada a ambos en la ronda de mejora final del sistema (PARAMS_M2, ver 7.2.2), lleva a elegir M2 como señal principal para la </w:t>
      </w:r>
      <w:r w:rsidRPr="006825B8">
        <w:rPr>
          <w:i/>
        </w:rPr>
        <w:t>priorización</w:t>
      </w:r>
      <w:r w:rsidRPr="00FF276E">
        <w:t xml:space="preserve"> de vigilancia de familias, y M3-SPNSP como complemento para la </w:t>
      </w:r>
      <w:r w:rsidRPr="006825B8">
        <w:rPr>
          <w:i/>
        </w:rPr>
        <w:t>priorización</w:t>
      </w:r>
      <w:r w:rsidRPr="00FF276E">
        <w:t xml:space="preserve"> de mutaciones.</w:t>
      </w:r>
    </w:p>
    <w:p w14:paraId="1884E9CD" w14:textId="77777777" w:rsidR="00AE4C5F" w:rsidRPr="00FF276E" w:rsidRDefault="00E35FF3">
      <w:pPr>
        <w:pStyle w:val="Ttulo2"/>
        <w:rPr>
          <w:color w:val="2E74B5"/>
        </w:rPr>
      </w:pPr>
      <w:bookmarkStart w:id="59" w:name="_Toc234787624"/>
      <w:bookmarkStart w:id="60" w:name="_Toc238464652"/>
      <w:r w:rsidRPr="00FF276E">
        <w:rPr>
          <w:color w:val="2E74B5"/>
        </w:rPr>
        <w:t>6.4. Características para el conjunto de datos de mutaciones M3-SPNSP (16 variables)</w:t>
      </w:r>
      <w:bookmarkEnd w:id="59"/>
      <w:bookmarkEnd w:id="60"/>
    </w:p>
    <w:p w14:paraId="3E0A0FD3" w14:textId="77777777" w:rsidR="00AE4C5F" w:rsidRPr="00FF276E" w:rsidRDefault="00EC241F">
      <w:pPr>
        <w:jc w:val="both"/>
      </w:pPr>
      <w:r w:rsidRPr="00FF276E">
        <w:t xml:space="preserve">El modelo de mutaciones opera sobre un espacio distinto: cada fila es (mutación, semana). Sus 16 </w:t>
      </w:r>
      <w:r w:rsidRPr="006825B8">
        <w:t>características</w:t>
      </w:r>
      <w:r w:rsidRPr="00FF276E">
        <w:t xml:space="preserve"> finales </w:t>
      </w:r>
      <w:r w:rsidR="00E83CAF">
        <w:t xml:space="preserve">(resultado de dos rondas de </w:t>
      </w:r>
      <w:r w:rsidR="00E83CAF" w:rsidRPr="006825B8">
        <w:rPr>
          <w:i/>
        </w:rPr>
        <w:t>ablation</w:t>
      </w:r>
      <w:r w:rsidR="00E83CAF">
        <w:t xml:space="preserve"> sistemático, 7.2.3)</w:t>
      </w:r>
      <w:r w:rsidRPr="00FF276E">
        <w:t xml:space="preserve"> combinan la dinámica temporal de cada mutación (frecuencia actual, pendientes y aceleración, crecimiento log-lineal, media y volatilidad a 8 semanas), su grado de convergencia evolutiva (número de familias que la portan, tanto histórico como en una ventana reciente de 12 semanas) y su contexto genómico-funcional (proteína de origen, posición aminoacídica y localización en RBD, NTD o sitio de furina).</w:t>
      </w:r>
    </w:p>
    <w:p w14:paraId="230DEDE4" w14:textId="77777777" w:rsidR="00237D4B" w:rsidRPr="00FF276E" w:rsidRDefault="00E35FF3">
      <w:pPr>
        <w:jc w:val="both"/>
      </w:pPr>
      <w:r>
        <w:rPr/>
        <w:t xml:space="preserve">Durante el desarrollo se probaron tres </w:t>
      </w:r>
      <w:r>
        <w:rPr/>
        <w:t>características</w:t>
      </w:r>
      <w:r>
        <w:rPr/>
        <w:t xml:space="preserve"> adicionales que finalmente no entraron en el modelo final, tras comprobar su efecto real y no por intuición; se conservan en los datos como columnas de referencia. La primera, que medía la coocurrencia con otras mutaciones destacadas (cooc_partner_strength), parecía prometedora, pero en la práctica el modelo la aprovechaba para memorizar identidades concretas en vez de generalizar, empeorando el AUC de </w:t>
      </w:r>
      <w:r>
        <w:rPr>
          <w:i/>
        </w:rPr>
        <w:t>test</w:t>
      </w:r>
      <w:r>
        <w:rPr/>
        <w:t xml:space="preserve">. Las otras dos, la severidad bioquímica de la sustitución (blosum_change) y si la mutación es una inserción o deleción (is_indel), no aportaban señal real pero sí reducían a la mitad el sobreajuste; se excluyeron igualmente del modelo final (cifras exactas en el </w:t>
      </w:r>
      <w:hyperlink w:anchor="apxB2" w:history="1">
        <w:r>
          <w:rPr>
            <w:rStyle w:val="Hipervnculo"/>
          </w:rPr>
          <w:t>Apéndice B.2</w:t>
        </w:r>
      </w:hyperlink>
      <w:r>
        <w:rPr/>
        <w:t xml:space="preserve">; Figura 6.1).</w:t>
      </w:r>
    </w:p>
    <w:p w14:paraId="686C0E4E" w14:textId="77777777" w:rsidR="00AE4C5F" w:rsidRPr="00FF276E" w:rsidRDefault="00E35FF3">
      <w:pPr>
        <w:jc w:val="both"/>
      </w:pPr>
      <w:r w:rsidRPr="00FF276E">
        <w:t xml:space="preserve">La </w:t>
      </w:r>
      <w:r w:rsidRPr="006825B8">
        <w:t>característica</w:t>
      </w:r>
      <w:r w:rsidRPr="00FF276E">
        <w:t xml:space="preserve"> n_families_recent (convergencia evolutiva acotada a una ventana causal de 12 semanas, en vez del n_families histórico acumulado) es la de mayor importancia SHAP de todo M3-SPNSP (|SHAP|=0.7585) y de M3-ALL (0.7784), muy por delante de la siguiente </w:t>
      </w:r>
      <w:r w:rsidRPr="006825B8">
        <w:t>característica</w:t>
      </w:r>
      <w:r w:rsidRPr="00FF276E">
        <w:t xml:space="preserve"> en cada </w:t>
      </w:r>
      <w:r w:rsidRPr="006825B8">
        <w:t>conjunto de datos</w:t>
      </w:r>
      <w:r w:rsidRPr="00FF276E">
        <w:t xml:space="preserve"> (position=0.3521 en SPNSP, is_spike=0.2939 en ALL). Esto valida cuantitativamente el concepto de evolución convergente como señal de selección positiva, y además muestra que acotar la convergencia a una ventana reciente es más informativo que la convergencia histórica sin acotar: una mutación que gana familias independientes recientemente es una señal más fuerte que una que las acumuló hace mucho tiempo y ya se ha estabilizado.</w:t>
      </w:r>
    </w:p>
    <w:p w14:paraId="146DB54F" w14:textId="77777777" w:rsidR="00161FE3" w:rsidRDefault="00000000" w:rsidP="00D23153">
      <w:pPr>
        <w:keepNext/>
        <w:spacing w:before="280" w:after="80"/>
      </w:pPr>
      <w:r>
        <w:lastRenderedPageBreak/>
        <w:drawing>
          <wp:anchor distT="0" distB="0" distL="114300" distR="114300" simplePos="0" relativeHeight="251658244" behindDoc="0" locked="0" layoutInCell="1" allowOverlap="1" wp14:anchorId="6D1240EE" wp14:editId="6CB6D394">
            <wp:simplePos x="0" y="0"/>
            <wp:positionH relativeFrom="column">
              <wp:posOffset>153670</wp:posOffset>
            </wp:positionH>
            <wp:positionV relativeFrom="paragraph">
              <wp:posOffset>365760</wp:posOffset>
            </wp:positionV>
            <wp:extent cx="5486400" cy="2966085"/>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1a_ablation_auc.png"/>
                    <pic:cNvPicPr/>
                  </pic:nvPicPr>
                  <pic:blipFill>
                    <a:blip r:embed="rId15"/>
                    <a:stretch>
                      <a:fillRect/>
                    </a:stretch>
                  </pic:blipFill>
                  <pic:spPr>
                    <a:xfrm>
                      <a:off x="0" y="0"/>
                      <a:ext cx="5486400" cy="2966085"/>
                    </a:xfrm>
                    <a:prstGeom prst="rect">
                      <a:avLst/>
                    </a:prstGeom>
                  </pic:spPr>
                </pic:pic>
              </a:graphicData>
            </a:graphic>
            <wp14:sizeRelH relativeFrom="margin">
              <wp14:pctWidth>0</wp14:pctWidth>
            </wp14:sizeRelH>
            <wp14:sizeRelV relativeFrom="margin">
              <wp14:pctHeight>0</wp14:pctHeight>
            </wp14:sizeRelV>
          </wp:anchor>
        </w:drawing>
      </w:r>
    </w:p>
    <w:p w14:paraId="4FD14B8D" w14:textId="6E9BD31D" w:rsidR="00161FE3" w:rsidRDefault="00000000">
      <w:pPr>
        <w:keepLines/>
        <w:spacing w:before="80" w:after="280"/>
        <w:jc w:val="center"/>
      </w:pPr>
      <w:r>
        <w:rPr>
          <w:b/>
        </w:rPr>
        <w:t>Figura 6.1a. Ablation de M3-SPNSP: AUC de test al quitar una a una las características candidatas (blosum_change, is_indel) sobre la configuración de referencia (BASELINE) y la final (ACTUAL). Ninguna de las dos aporta AUC de forma apreciable.</w:t>
      </w:r>
    </w:p>
    <w:p w14:paraId="2B4C2E60" w14:textId="6AFF03B5" w:rsidR="00161FE3" w:rsidRDefault="00D23153" w:rsidP="00D23153">
      <w:pPr>
        <w:keepNext/>
        <w:spacing w:before="280" w:after="80"/>
      </w:pPr>
      <w:r>
        <w:drawing>
          <wp:anchor distT="0" distB="0" distL="114300" distR="114300" simplePos="0" relativeHeight="251658245" behindDoc="0" locked="0" layoutInCell="1" allowOverlap="1" wp14:anchorId="1250C5C0" wp14:editId="50B5173C">
            <wp:simplePos x="0" y="0"/>
            <wp:positionH relativeFrom="column">
              <wp:posOffset>107315</wp:posOffset>
            </wp:positionH>
            <wp:positionV relativeFrom="paragraph">
              <wp:posOffset>243840</wp:posOffset>
            </wp:positionV>
            <wp:extent cx="5486400" cy="2958499"/>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1b_ablation_gap.png"/>
                    <pic:cNvPicPr/>
                  </pic:nvPicPr>
                  <pic:blipFill>
                    <a:blip r:embed="rId16"/>
                    <a:stretch>
                      <a:fillRect/>
                    </a:stretch>
                  </pic:blipFill>
                  <pic:spPr>
                    <a:xfrm>
                      <a:off x="0" y="0"/>
                      <a:ext cx="5486400" cy="2958499"/>
                    </a:xfrm>
                    <a:prstGeom prst="rect">
                      <a:avLst/>
                    </a:prstGeom>
                  </pic:spPr>
                </pic:pic>
              </a:graphicData>
            </a:graphic>
          </wp:anchor>
        </w:drawing>
      </w:r>
    </w:p>
    <w:p w14:paraId="249BDDA9" w14:textId="77777777" w:rsidR="00161FE3" w:rsidRDefault="00000000">
      <w:pPr>
        <w:keepLines/>
        <w:spacing w:before="80" w:after="280"/>
        <w:jc w:val="center"/>
      </w:pPr>
      <w:r>
        <w:rPr>
          <w:b/>
        </w:rPr>
        <w:t>Figura 6.1b. Ablation de M3-SPNSP: diferencia train-test o gap de sobreajuste al quitar las mismas características candidatas. Juntas reducen el gap a la mitad, la razón por la que se excluyeron del modelo final.</w:t>
      </w:r>
    </w:p>
    <w:p w14:paraId="0A936C7F" w14:textId="77777777" w:rsidR="00AE4C5F" w:rsidRPr="00FF276E" w:rsidRDefault="00E35FF3">
      <w:pPr>
        <w:pStyle w:val="Ttulo2"/>
        <w:rPr>
          <w:color w:val="2E74B5"/>
        </w:rPr>
      </w:pPr>
      <w:bookmarkStart w:id="61" w:name="_Toc234787625"/>
      <w:bookmarkStart w:id="62" w:name="_Toc238464653"/>
      <w:r w:rsidRPr="00FF276E">
        <w:rPr>
          <w:color w:val="2E74B5"/>
        </w:rPr>
        <w:lastRenderedPageBreak/>
        <w:t>6.5. Variable objetivo y desbalanceo de clases</w:t>
      </w:r>
      <w:bookmarkEnd w:id="61"/>
      <w:bookmarkEnd w:id="62"/>
    </w:p>
    <w:p w14:paraId="54B5FE48" w14:textId="77777777" w:rsidR="00AE4C5F" w:rsidRPr="00FF276E" w:rsidRDefault="00E35FF3">
      <w:pPr>
        <w:jc w:val="both"/>
      </w:pPr>
      <w:r w:rsidRPr="00FF276E">
        <w:t xml:space="preserve">El desbalanceo de clases (13.5% a 28.4% de positivos según el </w:t>
      </w:r>
      <w:r w:rsidRPr="006825B8">
        <w:t>conjunto de datos</w:t>
      </w:r>
      <w:r w:rsidRPr="00FF276E">
        <w:t xml:space="preserve">, ver 5.3) es un reflejo de la realidad epidemiológica: la mayoría de variantes detectadas en un momento dado son residuales o en declive, no emergentes; la proporción es mayor en M1 porque ese </w:t>
      </w:r>
      <w:r w:rsidRPr="006825B8">
        <w:t>conjunto de datos</w:t>
      </w:r>
      <w:r w:rsidRPr="00FF276E">
        <w:t xml:space="preserve"> ya está restringido a la fase pre-emergencia (ver 4.1), donde la pregunta "¿llegará a dominar?" tiene una tasa base de éxito más alta que en el universo completo de M2/M3. Este desbalanceo se aborda con el parámetro scale_pos_weight de LightGBM, que multiplica el peso de los ejemplos positivos por el ratio n_negativos/n_positivos. Esto garantiza que el gradiente de optimización pondere igual los errores en positivos y negativos, evitando que el modelo ignore la clase minoritaria.</w:t>
      </w:r>
    </w:p>
    <w:p w14:paraId="64E8E832" w14:textId="77777777" w:rsidR="00AE4C5F" w:rsidRPr="00FF276E" w:rsidRDefault="00E35FF3">
      <w:pPr>
        <w:jc w:val="both"/>
      </w:pPr>
      <w:r w:rsidRPr="00FF276E">
        <w:t>La elección del AUC-ROC como métrica principal (en lugar de accuracy o F1) es deliberada: el AUC evalúa la capacidad del modelo de ordenar correctamente los ejemplos positivos por encima de los negativos, independientemente del umbral de decisión. Para un sistema de vigilancia donde lo importante es ordenar correctamente las variantes más amenazantes, no asignar una probabilidad absoluta calibrada, el AUC es la métrica más directamente relevante.</w:t>
      </w:r>
    </w:p>
    <w:p w14:paraId="5620B069" w14:textId="77777777" w:rsidR="00AE4C5F" w:rsidRPr="00FF276E" w:rsidRDefault="00E35FF3">
      <w:pPr>
        <w:jc w:val="both"/>
      </w:pPr>
      <w:r w:rsidRPr="00FF276E">
        <w:br w:type="page"/>
      </w:r>
    </w:p>
    <w:p w14:paraId="3F1C9BB7" w14:textId="77777777" w:rsidR="00AE4C5F" w:rsidRPr="00FF276E" w:rsidRDefault="00E35FF3">
      <w:pPr>
        <w:pStyle w:val="Ttulo1"/>
        <w:rPr>
          <w:color w:val="1F497D"/>
        </w:rPr>
      </w:pPr>
      <w:bookmarkStart w:id="63" w:name="_Toc234787626"/>
      <w:bookmarkStart w:id="64" w:name="_Toc238464654"/>
      <w:r w:rsidRPr="00FF276E">
        <w:rPr>
          <w:color w:val="1F497D"/>
        </w:rPr>
        <w:lastRenderedPageBreak/>
        <w:t>7. Resultados</w:t>
      </w:r>
      <w:bookmarkEnd w:id="63"/>
      <w:bookmarkEnd w:id="64"/>
    </w:p>
    <w:p w14:paraId="478E80B7" w14:textId="77777777" w:rsidR="00AE4C5F" w:rsidRPr="00FF276E" w:rsidRDefault="00E35FF3">
      <w:pPr>
        <w:pStyle w:val="Ttulo2"/>
        <w:rPr>
          <w:color w:val="2E74B5"/>
        </w:rPr>
      </w:pPr>
      <w:bookmarkStart w:id="65" w:name="_Toc234787627"/>
      <w:bookmarkStart w:id="66" w:name="_Toc238464655"/>
      <w:r w:rsidRPr="00FF276E">
        <w:rPr>
          <w:color w:val="2E74B5"/>
        </w:rPr>
        <w:t>7.1. Análisis exploratorio de datos (Módulo 2)</w:t>
      </w:r>
      <w:bookmarkEnd w:id="65"/>
      <w:bookmarkEnd w:id="66"/>
    </w:p>
    <w:p w14:paraId="40ECC007" w14:textId="77777777" w:rsidR="00AE4C5F" w:rsidRPr="00FF276E" w:rsidRDefault="00E35FF3">
      <w:pPr>
        <w:jc w:val="both"/>
      </w:pPr>
      <w:r w:rsidRPr="00FF276E">
        <w:t>El análisis exploratorio sobre las matrices de frecuencia temporal revela la estructura epidémica del período 2020-2026. Los 19 clados Nextclade con historia suficiente (de 50 reconocidos en el período) muestran un patrón de sucesión en que cada clado dominante alcanza su pico de frecuencia (entre el 60% y el 95% global) y luego declina abruptamente cuando emerge el siguiente: la pandemia es una secuencia de "olas de dominancia" con escasa co-circulación prolongada entre variantes competidoras. Este patrón de selección de barrido (selective sweep) se hace más pronunciado a partir de la época XBB, donde las transiciones se aceleran.</w:t>
      </w:r>
    </w:p>
    <w:p w14:paraId="558F9453" w14:textId="77777777" w:rsidR="00AE4C5F" w:rsidRPr="00FF276E" w:rsidRDefault="00E35FF3">
      <w:pPr>
        <w:jc w:val="both"/>
      </w:pPr>
      <w:r w:rsidRPr="00FF276E">
        <w:t xml:space="preserve">De las 435 familias Pango con presencia observable en el período completo (5.3), 23 alcanzaron el umbral de dominancia del 10% global en algún momento. La distribución de frecuencias es extremadamente sesgada: el 1% de las familias concentra el 80% de las secuencias en cada semana, mientras que el 90% de las familias activas tienen frecuencias inferiores al 1% en cualquier momento dado. Esta distribución es característica de sistemas bajo selección positiva intensa, donde unos pocos genotipos de alta </w:t>
      </w:r>
      <w:r w:rsidRPr="006825B8">
        <w:rPr>
          <w:i/>
        </w:rPr>
        <w:t>eficacia biológica</w:t>
      </w:r>
      <w:r w:rsidRPr="00FF276E">
        <w:t xml:space="preserve"> desplazan rápidamente a la mayoría.</w:t>
      </w:r>
    </w:p>
    <w:p w14:paraId="003A0E72" w14:textId="77777777" w:rsidR="00AE4C5F" w:rsidRPr="00FF276E" w:rsidRDefault="00E35FF3">
      <w:pPr>
        <w:jc w:val="both"/>
      </w:pPr>
      <w:r w:rsidRPr="00FF276E">
        <w:t>El análisis de la distribución temporal de la detección de familias (primera semana donde freq ≥ 0.1%) revela que la tasa de emergencia de nuevas familias se aceleró significativamente a partir de 2022: mientras que entre 2020-2021 se detectaban ~3 nuevas familias por mes, durante 2022-2023 la tasa fue de ~8 familias/mes, y en 2024-2025 alcanzó ~12 familias/mes. Esta aceleración refleja tanto el aumento real de la diversidad viral como el aumento de la capacidad de secuenciación global.</w:t>
      </w:r>
    </w:p>
    <w:p w14:paraId="4E48DA2B" w14:textId="77777777" w:rsidR="00AE4C5F" w:rsidRPr="00FF276E" w:rsidRDefault="00E35FF3">
      <w:pPr>
        <w:jc w:val="both"/>
      </w:pPr>
      <w:r w:rsidRPr="00FF276E">
        <w:t xml:space="preserve">El análisis de mutaciones revela 2.279 posiciones aminoacídicas con señal real de variación entre familias, de 205.156 mutaciones brutas detectadas en el </w:t>
      </w:r>
      <w:r w:rsidRPr="006825B8">
        <w:rPr>
          <w:i/>
        </w:rPr>
        <w:t>flujo continuo</w:t>
      </w:r>
      <w:r w:rsidRPr="00FF276E">
        <w:t xml:space="preserve"> sobre las proteínas Spike y NSP12. Una proporción sustancial de estas posiciones está en Spike, con una densidad especialmente alta en el RBD (posiciones 319-541). El análisis SHAP del conjunto de datos de mutaciones M3-SPNSP confirma (7.2.3) que la convergencia evolutiva reciente (n_families_recent) es la señal predictiva más potente a nivel mutacional, por delante incluso de la posición genómica.</w:t>
      </w:r>
    </w:p>
    <w:p w14:paraId="5BE68AA6" w14:textId="77777777" w:rsidR="00237D4B" w:rsidRPr="00FF276E" w:rsidRDefault="00E35FF3">
      <w:pPr>
        <w:pStyle w:val="Ttulo3"/>
        <w:rPr>
          <w:color w:val="4F81BD"/>
        </w:rPr>
      </w:pPr>
      <w:bookmarkStart w:id="67" w:name="_Toc234787628"/>
      <w:bookmarkStart w:id="68" w:name="_Toc238464656"/>
      <w:r w:rsidRPr="00FF276E">
        <w:rPr>
          <w:color w:val="4F81BD"/>
        </w:rPr>
        <w:t>7.1.1. Firma mutacional y test de selección (Módulo 2.8)</w:t>
      </w:r>
      <w:bookmarkEnd w:id="67"/>
      <w:bookmarkEnd w:id="68"/>
    </w:p>
    <w:p w14:paraId="3661E12A" w14:textId="77777777" w:rsidR="00237D4B" w:rsidRPr="00FF276E" w:rsidRDefault="00FF2CA2">
      <w:pPr>
        <w:jc w:val="both"/>
      </w:pPr>
      <w:r w:rsidRPr="00FF276E">
        <w:rPr>
          <w:rFonts w:hint="eastAsia"/>
        </w:rPr>
        <w:t>Sobre las 30 mutaciones de Spike/NSP12 con mayor varianza de frecuencia entre familias (el criterio usado para seleccionarlas como características en 6.3), se infiere el cambio de nucleótido más parsimonioso (comparando con el genoma de referencia Wuhan-Hu-1): predominan las transversiones (13) sobre las transiciones (11), lo contrario del sesgo C</w:t>
      </w:r>
      <w:r w:rsidRPr="00FF276E">
        <w:rPr>
          <w:rFonts w:hint="eastAsia"/>
        </w:rPr>
        <w:t>→</w:t>
      </w:r>
      <w:r w:rsidRPr="00FF276E">
        <w:rPr>
          <w:rFonts w:hint="eastAsia"/>
        </w:rPr>
        <w:t xml:space="preserve">U </w:t>
      </w:r>
      <w:r w:rsidRPr="00FF276E">
        <w:t>por APOBEC descrito como patrón de fondo en SARS-CoV-2 (Figura 7.1).</w:t>
      </w:r>
    </w:p>
    <w:p w14:paraId="6407E072" w14:textId="1F1361CC" w:rsidR="00237D4B" w:rsidRPr="00FF276E" w:rsidRDefault="00FF2CA2">
      <w:pPr>
        <w:jc w:val="both"/>
      </w:pPr>
      <w:r w:rsidRPr="00FF276E">
        <w:t xml:space="preserve">Sin embargo, un </w:t>
      </w:r>
      <w:r w:rsidRPr="002D0178">
        <w:rPr>
          <w:i/>
        </w:rPr>
        <w:t>test</w:t>
      </w:r>
      <w:r w:rsidRPr="00FF276E">
        <w:t xml:space="preserve"> formal sobre las 637 mutaciones con señal real </w:t>
      </w:r>
      <w:r w:rsidR="00E83CAF">
        <w:t>(comparando las que llegaron a dominar con las que no)</w:t>
      </w:r>
      <w:r w:rsidRPr="00FF276E">
        <w:t xml:space="preserve"> no encuentra diferencia significativa en el patrón transición/transversión (</w:t>
      </w:r>
      <w:r w:rsidRPr="002D0178">
        <w:rPr>
          <w:i/>
        </w:rPr>
        <w:t>test</w:t>
      </w:r>
      <w:r w:rsidRPr="00FF276E">
        <w:t xml:space="preserve"> de Fisher exacto, p=0.665). El tipo concreto de cambio de nucleótido, por sí solo, no distingue qué </w:t>
      </w:r>
      <w:r w:rsidRPr="00FF276E">
        <w:lastRenderedPageBreak/>
        <w:t>mutaciones triunfan: el predominio de transversiones del top-30 refleja el mecanismo mutacional de esas posiciones, no una selección diferencial.</w:t>
      </w:r>
    </w:p>
    <w:p w14:paraId="1D3A6D9A" w14:textId="459B9611" w:rsidR="00161FE3" w:rsidRDefault="00D23153">
      <w:pPr>
        <w:keepNext/>
        <w:spacing w:before="280" w:after="80"/>
        <w:jc w:val="center"/>
      </w:pPr>
      <w:r>
        <w:drawing>
          <wp:anchor distT="0" distB="0" distL="114300" distR="114300" simplePos="0" relativeHeight="251658246" behindDoc="0" locked="0" layoutInCell="1" allowOverlap="1" wp14:anchorId="1D65B6DA" wp14:editId="239FD56E">
            <wp:simplePos x="0" y="0"/>
            <wp:positionH relativeFrom="column">
              <wp:posOffset>153246</wp:posOffset>
            </wp:positionH>
            <wp:positionV relativeFrom="paragraph">
              <wp:posOffset>304800</wp:posOffset>
            </wp:positionV>
            <wp:extent cx="5486400" cy="351740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a_firma_cambio_base.png"/>
                    <pic:cNvPicPr/>
                  </pic:nvPicPr>
                  <pic:blipFill>
                    <a:blip r:embed="rId17"/>
                    <a:stretch>
                      <a:fillRect/>
                    </a:stretch>
                  </pic:blipFill>
                  <pic:spPr>
                    <a:xfrm>
                      <a:off x="0" y="0"/>
                      <a:ext cx="5486400" cy="3517400"/>
                    </a:xfrm>
                    <a:prstGeom prst="rect">
                      <a:avLst/>
                    </a:prstGeom>
                  </pic:spPr>
                </pic:pic>
              </a:graphicData>
            </a:graphic>
          </wp:anchor>
        </w:drawing>
      </w:r>
    </w:p>
    <w:p w14:paraId="658B6DE8" w14:textId="77777777" w:rsidR="00161FE3" w:rsidRDefault="00000000">
      <w:pPr>
        <w:keepLines/>
        <w:spacing w:before="80" w:after="280"/>
        <w:jc w:val="center"/>
      </w:pPr>
      <w:r>
        <w:rPr>
          <w:b/>
        </w:rPr>
        <w:t>Figura 7.1a. Firma mutacional del top-30 de mutaciones Spike/NSP12 por varianza: tipo de cambio de nucleótido más parsimonioso respecto a la referencia Wuhan-Hu-1.</w:t>
      </w:r>
    </w:p>
    <w:p w14:paraId="310449A1" w14:textId="77777777" w:rsidR="00161FE3" w:rsidRDefault="00000000">
      <w:pPr>
        <w:keepNext/>
        <w:spacing w:before="280" w:after="80"/>
        <w:jc w:val="center"/>
      </w:pPr>
      <w:r>
        <w:lastRenderedPageBreak/>
        <w:drawing>
          <wp:anchor distT="0" distB="0" distL="114300" distR="114300" simplePos="0" relativeHeight="251658247" behindDoc="0" locked="0" layoutInCell="1" allowOverlap="1" wp14:anchorId="2CF7E259" wp14:editId="7E779CFE">
            <wp:simplePos x="0" y="0"/>
            <wp:positionH relativeFrom="column">
              <wp:posOffset>123825</wp:posOffset>
            </wp:positionH>
            <wp:positionV relativeFrom="paragraph">
              <wp:posOffset>334645</wp:posOffset>
            </wp:positionV>
            <wp:extent cx="5486400" cy="3524845"/>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b_firma_tipo_cambio.png"/>
                    <pic:cNvPicPr/>
                  </pic:nvPicPr>
                  <pic:blipFill>
                    <a:blip r:embed="rId18"/>
                    <a:stretch>
                      <a:fillRect/>
                    </a:stretch>
                  </pic:blipFill>
                  <pic:spPr>
                    <a:xfrm>
                      <a:off x="0" y="0"/>
                      <a:ext cx="5486400" cy="3524845"/>
                    </a:xfrm>
                    <a:prstGeom prst="rect">
                      <a:avLst/>
                    </a:prstGeom>
                  </pic:spPr>
                </pic:pic>
              </a:graphicData>
            </a:graphic>
          </wp:anchor>
        </w:drawing>
      </w:r>
    </w:p>
    <w:p w14:paraId="0C8971FE" w14:textId="77777777" w:rsidR="00161FE3" w:rsidRDefault="00000000">
      <w:pPr>
        <w:keepLines/>
        <w:spacing w:before="80" w:after="280"/>
        <w:jc w:val="center"/>
      </w:pPr>
      <w:r>
        <w:rPr>
          <w:b/>
        </w:rPr>
        <w:t>Figura 7.1b. Firma mutacional del top-30 de mutaciones Spike/NSP12 por varianza: clasificación en transición, transversión, deleción o multi-nucleótido, es decir, un cambio que afecta a varias posiciones consecutivas a la vez. Las transversiones predominan sobre las transiciones, el patrón opuesto al sesgo C→U esperado por el mecanismo de edición celular APOBEC.</w:t>
      </w:r>
    </w:p>
    <w:p w14:paraId="0FE6E236" w14:textId="77777777" w:rsidR="00237D4B" w:rsidRPr="00FF276E" w:rsidRDefault="00E35FF3">
      <w:pPr>
        <w:pStyle w:val="Ttulo3"/>
        <w:rPr>
          <w:color w:val="4F81BD"/>
        </w:rPr>
      </w:pPr>
      <w:bookmarkStart w:id="69" w:name="_Toc234787629"/>
      <w:bookmarkStart w:id="70" w:name="_Toc238464657"/>
      <w:r w:rsidRPr="00FF276E">
        <w:rPr>
          <w:color w:val="4F81BD"/>
        </w:rPr>
        <w:t>7.1.2. Correlación de trayectorias y clasificación de coocurrencia (Módulo 2.9)</w:t>
      </w:r>
      <w:bookmarkEnd w:id="69"/>
      <w:bookmarkEnd w:id="70"/>
    </w:p>
    <w:p w14:paraId="2780E94A" w14:textId="77777777" w:rsidR="00237D4B" w:rsidRPr="00FF276E" w:rsidRDefault="00E35FF3">
      <w:pPr>
        <w:jc w:val="both"/>
      </w:pPr>
      <w:r w:rsidRPr="00FF276E">
        <w:t>La correlación de Pearson entre las trayectorias de frecuencia semanal de las mutaciones top de Spike/NSP12 identifica pares con |r| &gt;= 0.8 (</w:t>
      </w:r>
      <w:r w:rsidR="00B46C8F" w:rsidRPr="00FF276E">
        <w:t>Figura 7.2</w:t>
      </w:r>
      <w:r w:rsidRPr="00FF276E">
        <w:t xml:space="preserve">). La mayoría corresponden a mutaciones ligadas dentro de la misma familia Pango (heredadas en bloque, resultado esperado y no informativo), pero un subconjunto de pares aparece en familias Pango distintas e independientes: son candidatos a evolución convergente genuina, el fenómeno que la </w:t>
      </w:r>
      <w:r w:rsidRPr="006825B8">
        <w:t>característica</w:t>
      </w:r>
      <w:r w:rsidRPr="00FF276E">
        <w:t xml:space="preserve"> n_families/n_families_recent está diseñada para capturar (6.4).</w:t>
      </w:r>
    </w:p>
    <w:p w14:paraId="17829427" w14:textId="77777777" w:rsidR="00237D4B" w:rsidRPr="00FF276E" w:rsidRDefault="00E35FF3">
      <w:pPr>
        <w:keepNext/>
        <w:spacing w:before="280" w:after="80"/>
        <w:jc w:val="center"/>
      </w:pPr>
      <w:r w:rsidRPr="00FF276E">
        <w:lastRenderedPageBreak/>
        <w:drawing>
          <wp:anchor distT="0" distB="0" distL="0" distR="0" simplePos="0" relativeHeight="251658248" behindDoc="0" locked="0" layoutInCell="1" allowOverlap="1" wp14:anchorId="06A53202" wp14:editId="68D9EB92">
            <wp:simplePos x="0" y="0"/>
            <wp:positionH relativeFrom="column">
              <wp:posOffset>132080</wp:posOffset>
            </wp:positionH>
            <wp:positionV relativeFrom="paragraph">
              <wp:posOffset>304165</wp:posOffset>
            </wp:positionV>
            <wp:extent cx="5486400" cy="5283835"/>
            <wp:effectExtent l="0" t="0" r="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9_correlacion_mutaciones.png"/>
                    <pic:cNvPicPr/>
                  </pic:nvPicPr>
                  <pic:blipFill>
                    <a:blip r:embed="rId19"/>
                    <a:stretch>
                      <a:fillRect/>
                    </a:stretch>
                  </pic:blipFill>
                  <pic:spPr>
                    <a:xfrm>
                      <a:off x="0" y="0"/>
                      <a:ext cx="5486400" cy="5283835"/>
                    </a:xfrm>
                    <a:prstGeom prst="rect">
                      <a:avLst/>
                    </a:prstGeom>
                  </pic:spPr>
                </pic:pic>
              </a:graphicData>
            </a:graphic>
          </wp:anchor>
        </w:drawing>
      </w:r>
    </w:p>
    <w:p w14:paraId="077A4E99" w14:textId="77777777" w:rsidR="00237D4B" w:rsidRPr="00FF276E" w:rsidRDefault="00B46C8F">
      <w:pPr>
        <w:keepLines/>
        <w:spacing w:before="80" w:after="280"/>
        <w:jc w:val="center"/>
      </w:pPr>
      <w:r w:rsidRPr="00FF276E">
        <w:rPr>
          <w:b/>
        </w:rPr>
        <w:t>Figura 7.2. Clustermap (matriz de correlación con las mutaciones reordenadas por similitud) de la correlación de Pearson entre las trayectorias temporales de frecuencia de las mutaciones top de Spike/NSP12. Los bloques de color intenso agrupan mutaciones cuya frecuencia sube y baja de forma sincronizada, candidatas a convergencia evolutiva o a pertenecer a la misma familia genómica.</w:t>
      </w:r>
    </w:p>
    <w:p w14:paraId="7A26006C" w14:textId="77777777" w:rsidR="00237D4B" w:rsidRPr="00FF276E" w:rsidRDefault="00FF2CA2">
      <w:pPr>
        <w:jc w:val="both"/>
      </w:pPr>
      <w:r w:rsidRPr="00FF276E">
        <w:t xml:space="preserve">Para distinguir la convergencia independiente real de una simple relación de contención (una mutación como refinamiento posterior sobre el trasfondo genómico de la otra), se cruza la coocurrencia real entre mutaciones </w:t>
      </w:r>
      <w:r w:rsidR="009D2B6A" w:rsidRPr="009D2B6A">
        <w:rPr>
          <w:rFonts w:cs="Calibri"/>
        </w:rPr>
        <w:t>(medida secuencia a secuencia en ambas direcciones)</w:t>
      </w:r>
      <w:r w:rsidRPr="00FF276E">
        <w:t xml:space="preserve"> con el grado de solapamiento entre las familias que portan cada una.</w:t>
      </w:r>
    </w:p>
    <w:p w14:paraId="1EEB1BF5" w14:textId="77777777" w:rsidR="00A138F6" w:rsidRPr="00FF276E" w:rsidRDefault="00E35FF3">
      <w:pPr>
        <w:jc w:val="both"/>
      </w:pPr>
      <w:r w:rsidRPr="00FF276E">
        <w:lastRenderedPageBreak/>
        <w:t>De los 41 pares con correlación alta entre familias distintas, 4 se confirman como convergencia independiente real (coocurrencia bidireccional alta y bajo solapamiento de familias, el caso que respalda directamente el uso de n_families como señal de selección positiva), 15 son contención o jerarquía genómica (alto solapamiento de familias pese al bajo Jaccard, más compatible con que una mutación sea un refinamiento posterior de la otra), y los 22 restantes no tienen dato real de coocurrencia disponible para confirmarlo. La convergencia evolutiva genuina es real y medible, pero más rara de lo que sugeriría mirar solo la correlación de trayectorias: la mayoría de los pares de alta correlación entre familias distintas resultan ser jerarquía genómica, no independencia genuina.</w:t>
      </w:r>
    </w:p>
    <w:p w14:paraId="3C9C4F0F" w14:textId="77777777" w:rsidR="00AE4C5F" w:rsidRPr="00FF276E" w:rsidRDefault="00E35FF3">
      <w:pPr>
        <w:pStyle w:val="Ttulo2"/>
        <w:rPr>
          <w:color w:val="2E74B5"/>
        </w:rPr>
      </w:pPr>
      <w:bookmarkStart w:id="71" w:name="_Toc234787630"/>
      <w:bookmarkStart w:id="72" w:name="_Toc238464658"/>
      <w:r w:rsidRPr="00FF276E">
        <w:rPr>
          <w:color w:val="2E74B5"/>
        </w:rPr>
        <w:t>7.2. Modelos de predicción a corto plazo: LightGBM (Módulo 4)</w:t>
      </w:r>
      <w:bookmarkEnd w:id="71"/>
      <w:bookmarkEnd w:id="72"/>
    </w:p>
    <w:p w14:paraId="5391D01C" w14:textId="77777777" w:rsidR="00AE4C5F" w:rsidRPr="00FF276E" w:rsidRDefault="00E35FF3">
      <w:pPr>
        <w:pStyle w:val="Ttulo3"/>
        <w:rPr>
          <w:color w:val="4F81BD"/>
        </w:rPr>
      </w:pPr>
      <w:bookmarkStart w:id="73" w:name="_Toc234787631"/>
      <w:bookmarkStart w:id="74" w:name="_Toc238464659"/>
      <w:r w:rsidRPr="00FF276E">
        <w:rPr>
          <w:color w:val="4F81BD"/>
        </w:rPr>
        <w:t>7.2.1. Resultados en partición temporal fija</w:t>
      </w:r>
      <w:bookmarkEnd w:id="73"/>
      <w:bookmarkEnd w:id="74"/>
    </w:p>
    <w:p w14:paraId="1BE99DF6" w14:textId="77777777" w:rsidR="00AE4C5F" w:rsidRPr="00FF276E" w:rsidRDefault="00E35FF3">
      <w:pPr>
        <w:jc w:val="both"/>
      </w:pPr>
      <w:r w:rsidRPr="00FF276E">
        <w:t xml:space="preserve">Se entrenaron siete configuraciones del clasificador LightGBM combinando distintos conjuntos de </w:t>
      </w:r>
      <w:r w:rsidRPr="006825B8">
        <w:t>características</w:t>
      </w:r>
      <w:r w:rsidRPr="00FF276E">
        <w:t xml:space="preserve"> y niveles de granularidad, con </w:t>
      </w:r>
      <w:r w:rsidRPr="006825B8">
        <w:rPr>
          <w:i/>
        </w:rPr>
        <w:t>partición</w:t>
      </w:r>
      <w:r w:rsidRPr="00FF276E">
        <w:t xml:space="preserve"> temporal fija en 2023-06-01. Los resultados en el conjunto de </w:t>
      </w:r>
      <w:r w:rsidRPr="002D0178">
        <w:rPr>
          <w:i/>
        </w:rPr>
        <w:t>test</w:t>
      </w:r>
      <w:r w:rsidRPr="00FF276E">
        <w:t xml:space="preserve">, incluyendo la </w:t>
      </w:r>
      <w:r w:rsidRPr="00F0520D">
        <w:rPr>
          <w:i/>
        </w:rPr>
        <w:t>diferencia</w:t>
      </w:r>
      <w:r w:rsidRPr="00FF276E">
        <w:t xml:space="preserve"> </w:t>
      </w:r>
      <w:r w:rsidRPr="002D0178">
        <w:rPr>
          <w:i/>
        </w:rPr>
        <w:t>train</w:t>
      </w:r>
      <w:r w:rsidRPr="00FF276E">
        <w:t>-</w:t>
      </w:r>
      <w:r w:rsidRPr="002D0178">
        <w:rPr>
          <w:i/>
        </w:rPr>
        <w:t>test</w:t>
      </w:r>
      <w:r w:rsidRPr="00FF276E">
        <w:t xml:space="preserve"> (indicador de sobreajuste), son (Tabla 7.1):</w:t>
      </w:r>
    </w:p>
    <w:p w14:paraId="6C5DAD66" w14:textId="77777777" w:rsidR="00237D4B" w:rsidRPr="00FF276E" w:rsidRDefault="00E35FF3">
      <w:pPr>
        <w:keepNext/>
        <w:spacing w:before="280" w:after="80"/>
        <w:jc w:val="center"/>
      </w:pPr>
      <w:r w:rsidRPr="00FF276E">
        <w:rPr>
          <w:b/>
        </w:rPr>
        <w:t>Tabla 7.1. AUC train/test, diferencia, AP, Lift, proporción de positivos (Pos%) y número de iteraciones de entrenamiento (Iter) por conjunto de datos en la partición temporal fija.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19"/>
        <w:gridCol w:w="1519"/>
        <w:gridCol w:w="1519"/>
        <w:gridCol w:w="1519"/>
        <w:gridCol w:w="1518"/>
        <w:gridCol w:w="1518"/>
        <w:gridCol w:w="1519"/>
        <w:gridCol w:w="1519"/>
      </w:tblGrid>
      <w:tr w:rsidR="00AE4C5F" w:rsidRPr="00FF276E" w14:paraId="7A11A45D" w14:textId="77777777">
        <w:trPr>
          <w:cantSplit/>
          <w:tblHeader/>
          <w:jc w:val="center"/>
        </w:trPr>
        <w:tc>
          <w:tcPr>
            <w:tcW w:w="1520" w:type="dxa"/>
            <w:shd w:val="clear" w:color="auto" w:fill="DCE6F1"/>
          </w:tcPr>
          <w:p w14:paraId="60D20363" w14:textId="77777777" w:rsidR="00237D4B" w:rsidRPr="00FF276E" w:rsidRDefault="00E35FF3">
            <w:r w:rsidRPr="00FF276E">
              <w:rPr>
                <w:b/>
              </w:rPr>
              <w:t>Modelo</w:t>
            </w:r>
          </w:p>
        </w:tc>
        <w:tc>
          <w:tcPr>
            <w:tcW w:w="1520" w:type="dxa"/>
            <w:shd w:val="clear" w:color="auto" w:fill="DCE6F1"/>
          </w:tcPr>
          <w:p w14:paraId="73D8C501" w14:textId="77777777" w:rsidR="00237D4B" w:rsidRPr="00FF276E" w:rsidRDefault="00E35FF3">
            <w:r w:rsidRPr="00FF276E">
              <w:rPr>
                <w:b/>
              </w:rPr>
              <w:t xml:space="preserve">AUC </w:t>
            </w:r>
            <w:r w:rsidRPr="002D0178">
              <w:rPr>
                <w:b/>
                <w:i/>
              </w:rPr>
              <w:t>train</w:t>
            </w:r>
          </w:p>
        </w:tc>
        <w:tc>
          <w:tcPr>
            <w:tcW w:w="1520" w:type="dxa"/>
            <w:shd w:val="clear" w:color="auto" w:fill="DCE6F1"/>
          </w:tcPr>
          <w:p w14:paraId="5E0AA19C" w14:textId="77777777" w:rsidR="00237D4B" w:rsidRPr="00FF276E" w:rsidRDefault="00E35FF3">
            <w:r w:rsidRPr="00FF276E">
              <w:rPr>
                <w:b/>
              </w:rPr>
              <w:t xml:space="preserve">AUC </w:t>
            </w:r>
            <w:r w:rsidRPr="002D0178">
              <w:rPr>
                <w:b/>
                <w:i/>
              </w:rPr>
              <w:t>test</w:t>
            </w:r>
          </w:p>
        </w:tc>
        <w:tc>
          <w:tcPr>
            <w:tcW w:w="1520" w:type="dxa"/>
            <w:shd w:val="clear" w:color="auto" w:fill="DCE6F1"/>
          </w:tcPr>
          <w:p w14:paraId="58E6CD64" w14:textId="77777777" w:rsidR="00237D4B" w:rsidRPr="00FF276E" w:rsidRDefault="00E35FF3">
            <w:r w:rsidRPr="00F0520D">
              <w:rPr>
                <w:b/>
                <w:i/>
              </w:rPr>
              <w:t>Gap</w:t>
            </w:r>
          </w:p>
        </w:tc>
        <w:tc>
          <w:tcPr>
            <w:tcW w:w="1520" w:type="dxa"/>
            <w:shd w:val="clear" w:color="auto" w:fill="DCE6F1"/>
          </w:tcPr>
          <w:p w14:paraId="29624880" w14:textId="77777777" w:rsidR="00237D4B" w:rsidRPr="00FF276E" w:rsidRDefault="00E35FF3">
            <w:r w:rsidRPr="00FF276E">
              <w:rPr>
                <w:b/>
              </w:rPr>
              <w:t xml:space="preserve">AP </w:t>
            </w:r>
            <w:r w:rsidRPr="002D0178">
              <w:rPr>
                <w:b/>
                <w:i/>
              </w:rPr>
              <w:t>test</w:t>
            </w:r>
          </w:p>
        </w:tc>
        <w:tc>
          <w:tcPr>
            <w:tcW w:w="1520" w:type="dxa"/>
            <w:shd w:val="clear" w:color="auto" w:fill="DCE6F1"/>
          </w:tcPr>
          <w:p w14:paraId="3A8421CE" w14:textId="77777777" w:rsidR="00237D4B" w:rsidRPr="00FF276E" w:rsidRDefault="00E35FF3">
            <w:r w:rsidRPr="00FF276E">
              <w:rPr>
                <w:b/>
              </w:rPr>
              <w:t>Lift</w:t>
            </w:r>
          </w:p>
        </w:tc>
        <w:tc>
          <w:tcPr>
            <w:tcW w:type="dxa" w:w="1519"/>
          </w:tcPr>
          <w:p>
            <w:r/>
            <w:r>
              <w:rPr>
                <w:b/>
              </w:rPr>
              <w:t>Pos%</w:t>
            </w:r>
          </w:p>
        </w:tc>
        <w:tc>
          <w:tcPr>
            <w:tcW w:type="dxa" w:w="1519"/>
          </w:tcPr>
          <w:p>
            <w:r/>
            <w:r>
              <w:rPr>
                <w:b/>
              </w:rPr>
              <w:t>Iter</w:t>
            </w:r>
          </w:p>
        </w:tc>
      </w:tr>
      <w:tr w:rsidR="00237D4B" w:rsidRPr="00FF276E" w14:paraId="5B7C1B28" w14:textId="77777777">
        <w:trPr>
          <w:cantSplit/>
          <w:jc w:val="center"/>
        </w:trPr>
        <w:tc>
          <w:tcPr>
            <w:tcW w:w="1520" w:type="dxa"/>
          </w:tcPr>
          <w:p w14:paraId="11DB7D66" w14:textId="77777777" w:rsidR="00237D4B" w:rsidRPr="00FF276E" w:rsidRDefault="00E35FF3">
            <w:r w:rsidRPr="00FF276E">
              <w:t>M1</w:t>
            </w:r>
          </w:p>
        </w:tc>
        <w:tc>
          <w:tcPr>
            <w:tcW w:w="1520" w:type="dxa"/>
          </w:tcPr>
          <w:p w14:paraId="2C665E0A" w14:textId="77777777" w:rsidR="00237D4B" w:rsidRPr="00FF276E" w:rsidRDefault="00E35FF3">
            <w:r w:rsidRPr="00FF276E">
              <w:t>1.0000</w:t>
            </w:r>
          </w:p>
        </w:tc>
        <w:tc>
          <w:tcPr>
            <w:tcW w:w="1520" w:type="dxa"/>
          </w:tcPr>
          <w:p w14:paraId="6E327102" w14:textId="77777777" w:rsidR="00237D4B" w:rsidRPr="00FF276E" w:rsidRDefault="00E35FF3">
            <w:r w:rsidRPr="00FF276E">
              <w:t>0.9488</w:t>
            </w:r>
          </w:p>
        </w:tc>
        <w:tc>
          <w:tcPr>
            <w:tcW w:w="1520" w:type="dxa"/>
          </w:tcPr>
          <w:p w14:paraId="20264F97" w14:textId="77777777" w:rsidR="00237D4B" w:rsidRPr="00FF276E" w:rsidRDefault="00E35FF3">
            <w:r w:rsidRPr="00FF276E">
              <w:t>+0.051</w:t>
            </w:r>
          </w:p>
        </w:tc>
        <w:tc>
          <w:tcPr>
            <w:tcW w:w="1520" w:type="dxa"/>
          </w:tcPr>
          <w:p w14:paraId="78C8230D" w14:textId="77777777" w:rsidR="00237D4B" w:rsidRPr="00FF276E" w:rsidRDefault="00E35FF3">
            <w:r w:rsidRPr="00FF276E">
              <w:t>0.741</w:t>
            </w:r>
          </w:p>
        </w:tc>
        <w:tc>
          <w:tcPr>
            <w:tcW w:w="1520" w:type="dxa"/>
          </w:tcPr>
          <w:p w14:paraId="30F5A9B4" w14:textId="77777777" w:rsidR="00237D4B" w:rsidRPr="00FF276E" w:rsidRDefault="00E35FF3">
            <w:r w:rsidRPr="00FF276E">
              <w:t>4.48x</w:t>
            </w:r>
          </w:p>
        </w:tc>
        <w:tc>
          <w:tcPr>
            <w:tcW w:type="dxa" w:w="1519"/>
          </w:tcPr>
          <w:p>
            <w:r/>
            <w:r>
              <w:rPr>
                <w:b w:val="0"/>
              </w:rPr>
              <w:t>16.5%</w:t>
            </w:r>
          </w:p>
        </w:tc>
        <w:tc>
          <w:tcPr>
            <w:tcW w:type="dxa" w:w="1519"/>
          </w:tcPr>
          <w:p>
            <w:r/>
            <w:r>
              <w:rPr>
                <w:b w:val="0"/>
              </w:rPr>
              <w:t>63</w:t>
            </w:r>
          </w:p>
        </w:tc>
      </w:tr>
      <w:tr w:rsidR="00237D4B" w:rsidRPr="00FF276E" w14:paraId="7D3EA8D2" w14:textId="77777777">
        <w:trPr>
          <w:cantSplit/>
          <w:jc w:val="center"/>
        </w:trPr>
        <w:tc>
          <w:tcPr>
            <w:tcW w:w="1520" w:type="dxa"/>
          </w:tcPr>
          <w:p w14:paraId="432AB349" w14:textId="77777777" w:rsidR="00237D4B" w:rsidRPr="00FF276E" w:rsidRDefault="00E35FF3">
            <w:r w:rsidRPr="00FF276E">
              <w:t>M1-BIO</w:t>
            </w:r>
          </w:p>
        </w:tc>
        <w:tc>
          <w:tcPr>
            <w:tcW w:w="1520" w:type="dxa"/>
          </w:tcPr>
          <w:p w14:paraId="582CC49F" w14:textId="77777777" w:rsidR="00237D4B" w:rsidRPr="00FF276E" w:rsidRDefault="00E35FF3">
            <w:r w:rsidRPr="00FF276E">
              <w:t>0.9989</w:t>
            </w:r>
          </w:p>
        </w:tc>
        <w:tc>
          <w:tcPr>
            <w:tcW w:w="1520" w:type="dxa"/>
          </w:tcPr>
          <w:p w14:paraId="487FDE14" w14:textId="77777777" w:rsidR="00237D4B" w:rsidRPr="00FF276E" w:rsidRDefault="00E35FF3">
            <w:r w:rsidRPr="00FF276E">
              <w:t>0.9444</w:t>
            </w:r>
          </w:p>
        </w:tc>
        <w:tc>
          <w:tcPr>
            <w:tcW w:w="1520" w:type="dxa"/>
          </w:tcPr>
          <w:p w14:paraId="6C7788B1" w14:textId="77777777" w:rsidR="00237D4B" w:rsidRPr="00FF276E" w:rsidRDefault="00E35FF3">
            <w:r w:rsidRPr="00FF276E">
              <w:t>+0.055</w:t>
            </w:r>
          </w:p>
        </w:tc>
        <w:tc>
          <w:tcPr>
            <w:tcW w:w="1520" w:type="dxa"/>
          </w:tcPr>
          <w:p w14:paraId="40C3EFED" w14:textId="77777777" w:rsidR="00237D4B" w:rsidRPr="00FF276E" w:rsidRDefault="00E35FF3">
            <w:r w:rsidRPr="00FF276E">
              <w:t>0.639</w:t>
            </w:r>
          </w:p>
        </w:tc>
        <w:tc>
          <w:tcPr>
            <w:tcW w:w="1520" w:type="dxa"/>
          </w:tcPr>
          <w:p w14:paraId="37D83A3B" w14:textId="77777777" w:rsidR="00237D4B" w:rsidRPr="00FF276E" w:rsidRDefault="00E35FF3">
            <w:r w:rsidRPr="00FF276E">
              <w:t>3.86x</w:t>
            </w:r>
          </w:p>
        </w:tc>
        <w:tc>
          <w:tcPr>
            <w:tcW w:type="dxa" w:w="1519"/>
          </w:tcPr>
          <w:p>
            <w:r/>
            <w:r>
              <w:rPr>
                <w:b w:val="0"/>
              </w:rPr>
              <w:t>16.5%</w:t>
            </w:r>
          </w:p>
        </w:tc>
        <w:tc>
          <w:tcPr>
            <w:tcW w:type="dxa" w:w="1519"/>
          </w:tcPr>
          <w:p>
            <w:r/>
            <w:r>
              <w:rPr>
                <w:b w:val="0"/>
              </w:rPr>
              <w:t>4</w:t>
            </w:r>
          </w:p>
        </w:tc>
      </w:tr>
      <w:tr w:rsidR="00237D4B" w:rsidRPr="00FF276E" w14:paraId="5D9299A2" w14:textId="77777777">
        <w:trPr>
          <w:cantSplit/>
          <w:jc w:val="center"/>
        </w:trPr>
        <w:tc>
          <w:tcPr>
            <w:tcW w:w="1520" w:type="dxa"/>
          </w:tcPr>
          <w:p w14:paraId="67DF73C0" w14:textId="77777777" w:rsidR="00237D4B" w:rsidRPr="00FF276E" w:rsidRDefault="00E35FF3">
            <w:r w:rsidRPr="00FF276E">
              <w:t>M3-SPNSP</w:t>
            </w:r>
          </w:p>
        </w:tc>
        <w:tc>
          <w:tcPr>
            <w:tcW w:w="1520" w:type="dxa"/>
          </w:tcPr>
          <w:p w14:paraId="02688982" w14:textId="77777777" w:rsidR="00237D4B" w:rsidRPr="00FF276E" w:rsidRDefault="00E35FF3">
            <w:r w:rsidRPr="00FF276E">
              <w:t>0.9520</w:t>
            </w:r>
          </w:p>
        </w:tc>
        <w:tc>
          <w:tcPr>
            <w:tcW w:w="1520" w:type="dxa"/>
          </w:tcPr>
          <w:p w14:paraId="7F700442" w14:textId="77777777" w:rsidR="00237D4B" w:rsidRPr="00FF276E" w:rsidRDefault="00E35FF3">
            <w:r w:rsidRPr="00FF276E">
              <w:t>0.9251</w:t>
            </w:r>
          </w:p>
        </w:tc>
        <w:tc>
          <w:tcPr>
            <w:tcW w:w="1520" w:type="dxa"/>
          </w:tcPr>
          <w:p w14:paraId="0760557D" w14:textId="77777777" w:rsidR="00237D4B" w:rsidRPr="00FF276E" w:rsidRDefault="00E35FF3">
            <w:r w:rsidRPr="00FF276E">
              <w:t>+0.027</w:t>
            </w:r>
          </w:p>
        </w:tc>
        <w:tc>
          <w:tcPr>
            <w:tcW w:w="1520" w:type="dxa"/>
          </w:tcPr>
          <w:p w14:paraId="15BC4A0B" w14:textId="77777777" w:rsidR="00237D4B" w:rsidRPr="00FF276E" w:rsidRDefault="00E35FF3">
            <w:r w:rsidRPr="00FF276E">
              <w:t>0.860</w:t>
            </w:r>
          </w:p>
        </w:tc>
        <w:tc>
          <w:tcPr>
            <w:tcW w:w="1520" w:type="dxa"/>
          </w:tcPr>
          <w:p w14:paraId="73715339" w14:textId="77777777" w:rsidR="00237D4B" w:rsidRPr="00FF276E" w:rsidRDefault="00E35FF3">
            <w:r w:rsidRPr="00FF276E">
              <w:t>4.80x</w:t>
            </w:r>
          </w:p>
        </w:tc>
        <w:tc>
          <w:tcPr>
            <w:tcW w:type="dxa" w:w="1519"/>
          </w:tcPr>
          <w:p>
            <w:r/>
            <w:r>
              <w:rPr>
                <w:b w:val="0"/>
              </w:rPr>
              <w:t>17.9%</w:t>
            </w:r>
          </w:p>
        </w:tc>
        <w:tc>
          <w:tcPr>
            <w:tcW w:type="dxa" w:w="1519"/>
          </w:tcPr>
          <w:p>
            <w:r/>
            <w:r>
              <w:rPr>
                <w:b w:val="0"/>
              </w:rPr>
              <w:t>24</w:t>
            </w:r>
          </w:p>
        </w:tc>
      </w:tr>
      <w:tr w:rsidR="00237D4B" w:rsidRPr="00FF276E" w14:paraId="0C9D9197" w14:textId="77777777">
        <w:trPr>
          <w:cantSplit/>
          <w:jc w:val="center"/>
        </w:trPr>
        <w:tc>
          <w:tcPr>
            <w:tcW w:w="1520" w:type="dxa"/>
          </w:tcPr>
          <w:p w14:paraId="5C1CB34B" w14:textId="77777777" w:rsidR="00237D4B" w:rsidRPr="00FF276E" w:rsidRDefault="00E35FF3">
            <w:r w:rsidRPr="00FF276E">
              <w:t>M1-SPNSP</w:t>
            </w:r>
          </w:p>
        </w:tc>
        <w:tc>
          <w:tcPr>
            <w:tcW w:w="1520" w:type="dxa"/>
          </w:tcPr>
          <w:p w14:paraId="54171D1C" w14:textId="77777777" w:rsidR="00237D4B" w:rsidRPr="00FF276E" w:rsidRDefault="00E35FF3">
            <w:r w:rsidRPr="00FF276E">
              <w:t>0.9988</w:t>
            </w:r>
          </w:p>
        </w:tc>
        <w:tc>
          <w:tcPr>
            <w:tcW w:w="1520" w:type="dxa"/>
          </w:tcPr>
          <w:p w14:paraId="15C4A559" w14:textId="77777777" w:rsidR="00237D4B" w:rsidRPr="00FF276E" w:rsidRDefault="00E35FF3">
            <w:r w:rsidRPr="00FF276E">
              <w:t>0.9165</w:t>
            </w:r>
          </w:p>
        </w:tc>
        <w:tc>
          <w:tcPr>
            <w:tcW w:w="1520" w:type="dxa"/>
          </w:tcPr>
          <w:p w14:paraId="34080992" w14:textId="77777777" w:rsidR="00237D4B" w:rsidRPr="00FF276E" w:rsidRDefault="00E35FF3">
            <w:r w:rsidRPr="00FF276E">
              <w:t>+0.082</w:t>
            </w:r>
          </w:p>
        </w:tc>
        <w:tc>
          <w:tcPr>
            <w:tcW w:w="1520" w:type="dxa"/>
          </w:tcPr>
          <w:p w14:paraId="3363EF65" w14:textId="77777777" w:rsidR="00237D4B" w:rsidRPr="00FF276E" w:rsidRDefault="00E35FF3">
            <w:r w:rsidRPr="00FF276E">
              <w:t>0.625</w:t>
            </w:r>
          </w:p>
        </w:tc>
        <w:tc>
          <w:tcPr>
            <w:tcW w:w="1520" w:type="dxa"/>
          </w:tcPr>
          <w:p w14:paraId="1BE3C8DD" w14:textId="77777777" w:rsidR="00237D4B" w:rsidRPr="00FF276E" w:rsidRDefault="00E35FF3">
            <w:r w:rsidRPr="00FF276E">
              <w:t>3.77x</w:t>
            </w:r>
          </w:p>
        </w:tc>
        <w:tc>
          <w:tcPr>
            <w:tcW w:type="dxa" w:w="1519"/>
          </w:tcPr>
          <w:p>
            <w:r/>
            <w:r>
              <w:rPr>
                <w:b w:val="0"/>
              </w:rPr>
              <w:t>16.5%</w:t>
            </w:r>
          </w:p>
        </w:tc>
        <w:tc>
          <w:tcPr>
            <w:tcW w:type="dxa" w:w="1519"/>
          </w:tcPr>
          <w:p>
            <w:r/>
            <w:r>
              <w:rPr>
                <w:b w:val="0"/>
              </w:rPr>
              <w:t>3</w:t>
            </w:r>
          </w:p>
        </w:tc>
      </w:tr>
      <w:tr w:rsidR="00237D4B" w:rsidRPr="00FF276E" w14:paraId="556724F3" w14:textId="77777777">
        <w:trPr>
          <w:cantSplit/>
          <w:jc w:val="center"/>
        </w:trPr>
        <w:tc>
          <w:tcPr>
            <w:tcW w:w="1520" w:type="dxa"/>
          </w:tcPr>
          <w:p w14:paraId="13E71664" w14:textId="77777777" w:rsidR="00237D4B" w:rsidRPr="00FF276E" w:rsidRDefault="00E35FF3">
            <w:r w:rsidRPr="00FF276E">
              <w:t>M2</w:t>
            </w:r>
          </w:p>
        </w:tc>
        <w:tc>
          <w:tcPr>
            <w:tcW w:w="1520" w:type="dxa"/>
          </w:tcPr>
          <w:p w14:paraId="2352A736" w14:textId="77777777" w:rsidR="00237D4B" w:rsidRPr="00FF276E" w:rsidRDefault="00E35FF3">
            <w:r w:rsidRPr="00FF276E">
              <w:t>0.9847</w:t>
            </w:r>
          </w:p>
        </w:tc>
        <w:tc>
          <w:tcPr>
            <w:tcW w:w="1520" w:type="dxa"/>
          </w:tcPr>
          <w:p w14:paraId="34E594E4" w14:textId="77777777" w:rsidR="00237D4B" w:rsidRPr="00FF276E" w:rsidRDefault="00E35FF3">
            <w:r w:rsidRPr="00FF276E">
              <w:t>0.8855</w:t>
            </w:r>
          </w:p>
        </w:tc>
        <w:tc>
          <w:tcPr>
            <w:tcW w:w="1520" w:type="dxa"/>
          </w:tcPr>
          <w:p w14:paraId="668DB33C" w14:textId="77777777" w:rsidR="00237D4B" w:rsidRPr="00FF276E" w:rsidRDefault="00E35FF3">
            <w:r w:rsidRPr="00FF276E">
              <w:t>+0.099</w:t>
            </w:r>
          </w:p>
        </w:tc>
        <w:tc>
          <w:tcPr>
            <w:tcW w:w="1520" w:type="dxa"/>
          </w:tcPr>
          <w:p w14:paraId="6521FEC7" w14:textId="77777777" w:rsidR="00237D4B" w:rsidRPr="00FF276E" w:rsidRDefault="00E35FF3">
            <w:r w:rsidRPr="00FF276E">
              <w:t>0.628</w:t>
            </w:r>
          </w:p>
        </w:tc>
        <w:tc>
          <w:tcPr>
            <w:tcW w:w="1520" w:type="dxa"/>
          </w:tcPr>
          <w:p w14:paraId="64380D67" w14:textId="77777777" w:rsidR="00237D4B" w:rsidRPr="00FF276E" w:rsidRDefault="00E35FF3">
            <w:r w:rsidRPr="00FF276E">
              <w:t>4.79x</w:t>
            </w:r>
          </w:p>
        </w:tc>
        <w:tc>
          <w:tcPr>
            <w:tcW w:type="dxa" w:w="1519"/>
          </w:tcPr>
          <w:p>
            <w:r/>
            <w:r>
              <w:rPr>
                <w:b w:val="0"/>
              </w:rPr>
              <w:t>13.1%</w:t>
            </w:r>
          </w:p>
        </w:tc>
        <w:tc>
          <w:tcPr>
            <w:tcW w:type="dxa" w:w="1519"/>
          </w:tcPr>
          <w:p>
            <w:r/>
            <w:r>
              <w:rPr>
                <w:b w:val="0"/>
              </w:rPr>
              <w:t>51</w:t>
            </w:r>
          </w:p>
        </w:tc>
      </w:tr>
      <w:tr w:rsidR="00237D4B" w:rsidRPr="00FF276E" w14:paraId="196F7A38" w14:textId="77777777">
        <w:trPr>
          <w:cantSplit/>
          <w:jc w:val="center"/>
        </w:trPr>
        <w:tc>
          <w:tcPr>
            <w:tcW w:w="1520" w:type="dxa"/>
          </w:tcPr>
          <w:p w14:paraId="710153C5" w14:textId="77777777" w:rsidR="00237D4B" w:rsidRPr="00FF276E" w:rsidRDefault="00E35FF3">
            <w:r w:rsidRPr="00FF276E">
              <w:t>M2-SPNSP30</w:t>
            </w:r>
          </w:p>
        </w:tc>
        <w:tc>
          <w:tcPr>
            <w:tcW w:w="1520" w:type="dxa"/>
          </w:tcPr>
          <w:p w14:paraId="5AF79012" w14:textId="77777777" w:rsidR="00237D4B" w:rsidRPr="00FF276E" w:rsidRDefault="00E35FF3">
            <w:r w:rsidRPr="00FF276E">
              <w:t>0.9867</w:t>
            </w:r>
          </w:p>
        </w:tc>
        <w:tc>
          <w:tcPr>
            <w:tcW w:w="1520" w:type="dxa"/>
          </w:tcPr>
          <w:p w14:paraId="665EE4C5" w14:textId="77777777" w:rsidR="00237D4B" w:rsidRPr="00FF276E" w:rsidRDefault="00E35FF3">
            <w:r w:rsidRPr="00FF276E">
              <w:t>0.8746</w:t>
            </w:r>
          </w:p>
        </w:tc>
        <w:tc>
          <w:tcPr>
            <w:tcW w:w="1520" w:type="dxa"/>
          </w:tcPr>
          <w:p w14:paraId="617B386D" w14:textId="77777777" w:rsidR="00237D4B" w:rsidRPr="00FF276E" w:rsidRDefault="00E35FF3">
            <w:r w:rsidRPr="00FF276E">
              <w:t>+0.112</w:t>
            </w:r>
          </w:p>
        </w:tc>
        <w:tc>
          <w:tcPr>
            <w:tcW w:w="1520" w:type="dxa"/>
          </w:tcPr>
          <w:p w14:paraId="4F3085CA" w14:textId="77777777" w:rsidR="00237D4B" w:rsidRPr="00FF276E" w:rsidRDefault="00E35FF3">
            <w:r w:rsidRPr="00FF276E">
              <w:t>0.631</w:t>
            </w:r>
          </w:p>
        </w:tc>
        <w:tc>
          <w:tcPr>
            <w:tcW w:w="1520" w:type="dxa"/>
          </w:tcPr>
          <w:p w14:paraId="13896835" w14:textId="77777777" w:rsidR="00237D4B" w:rsidRPr="00FF276E" w:rsidRDefault="00E35FF3">
            <w:r w:rsidRPr="00FF276E">
              <w:t>4.81x</w:t>
            </w:r>
          </w:p>
        </w:tc>
        <w:tc>
          <w:tcPr>
            <w:tcW w:type="dxa" w:w="1519"/>
          </w:tcPr>
          <w:p>
            <w:r/>
            <w:r>
              <w:rPr>
                <w:b w:val="0"/>
              </w:rPr>
              <w:t>13.1%</w:t>
            </w:r>
          </w:p>
        </w:tc>
        <w:tc>
          <w:tcPr>
            <w:tcW w:type="dxa" w:w="1519"/>
          </w:tcPr>
          <w:p>
            <w:r/>
            <w:r>
              <w:rPr>
                <w:b w:val="0"/>
              </w:rPr>
              <w:t>50</w:t>
            </w:r>
          </w:p>
        </w:tc>
      </w:tr>
      <w:tr w:rsidR="00237D4B" w:rsidRPr="00FF276E" w14:paraId="6A2763E7" w14:textId="77777777">
        <w:trPr>
          <w:cantSplit/>
          <w:jc w:val="center"/>
        </w:trPr>
        <w:tc>
          <w:tcPr>
            <w:tcW w:w="1520" w:type="dxa"/>
          </w:tcPr>
          <w:p w14:paraId="64B07C53" w14:textId="77777777" w:rsidR="00237D4B" w:rsidRPr="00FF276E" w:rsidRDefault="00E35FF3">
            <w:r w:rsidRPr="00FF276E">
              <w:t>M3-ALL</w:t>
            </w:r>
          </w:p>
        </w:tc>
        <w:tc>
          <w:tcPr>
            <w:tcW w:w="1520" w:type="dxa"/>
          </w:tcPr>
          <w:p w14:paraId="619E6F04" w14:textId="77777777" w:rsidR="00237D4B" w:rsidRPr="00FF276E" w:rsidRDefault="00E35FF3">
            <w:r w:rsidRPr="00FF276E">
              <w:t>0.9083</w:t>
            </w:r>
          </w:p>
        </w:tc>
        <w:tc>
          <w:tcPr>
            <w:tcW w:w="1520" w:type="dxa"/>
          </w:tcPr>
          <w:p w14:paraId="1615D7C1" w14:textId="77777777" w:rsidR="00237D4B" w:rsidRPr="00FF276E" w:rsidRDefault="00E35FF3">
            <w:r w:rsidRPr="00FF276E">
              <w:t>0.8535</w:t>
            </w:r>
          </w:p>
        </w:tc>
        <w:tc>
          <w:tcPr>
            <w:tcW w:w="1520" w:type="dxa"/>
          </w:tcPr>
          <w:p w14:paraId="5F02BEC9" w14:textId="77777777" w:rsidR="00237D4B" w:rsidRPr="00FF276E" w:rsidRDefault="00E35FF3">
            <w:r w:rsidRPr="00FF276E">
              <w:t>+0.055</w:t>
            </w:r>
          </w:p>
        </w:tc>
        <w:tc>
          <w:tcPr>
            <w:tcW w:w="1520" w:type="dxa"/>
          </w:tcPr>
          <w:p w14:paraId="075DFD4A" w14:textId="77777777" w:rsidR="00237D4B" w:rsidRPr="00FF276E" w:rsidRDefault="00E35FF3">
            <w:r w:rsidRPr="00FF276E">
              <w:t>0.690</w:t>
            </w:r>
          </w:p>
        </w:tc>
        <w:tc>
          <w:tcPr>
            <w:tcW w:w="1520" w:type="dxa"/>
          </w:tcPr>
          <w:p w14:paraId="3BCAB24F" w14:textId="77777777" w:rsidR="00237D4B" w:rsidRPr="00FF276E" w:rsidRDefault="00E35FF3">
            <w:r w:rsidRPr="00FF276E">
              <w:t>5.30x</w:t>
            </w:r>
          </w:p>
        </w:tc>
        <w:tc>
          <w:tcPr>
            <w:tcW w:type="dxa" w:w="1519"/>
          </w:tcPr>
          <w:p>
            <w:r/>
            <w:r>
              <w:rPr>
                <w:b w:val="0"/>
              </w:rPr>
              <w:t>13.0%</w:t>
            </w:r>
          </w:p>
        </w:tc>
        <w:tc>
          <w:tcPr>
            <w:tcW w:type="dxa" w:w="1519"/>
          </w:tcPr>
          <w:p>
            <w:r/>
            <w:r>
              <w:rPr>
                <w:b w:val="0"/>
              </w:rPr>
              <w:t>54</w:t>
            </w:r>
          </w:p>
        </w:tc>
      </w:tr>
    </w:tbl>
    <w:p w14:paraId="53EA398F" w14:textId="77777777" w:rsidR="00AE4C5F" w:rsidRPr="00FF276E" w:rsidRDefault="00E35FF3">
      <w:pPr>
        <w:jc w:val="both"/>
      </w:pPr>
      <w:r w:rsidRPr="00FF276E">
        <w:t xml:space="preserve">M1 alcanza el AUC de </w:t>
      </w:r>
      <w:r w:rsidRPr="002D0178">
        <w:rPr>
          <w:i/>
        </w:rPr>
        <w:t>test</w:t>
      </w:r>
      <w:r w:rsidRPr="00FF276E">
        <w:t xml:space="preserve"> más alto (0.949), pero sobre una muestra pequeña (701 observaciones) y sin </w:t>
      </w:r>
      <w:r w:rsidRPr="000E2107">
        <w:rPr>
          <w:i/>
        </w:rPr>
        <w:t>validación progresiva</w:t>
      </w:r>
      <w:r w:rsidRPr="00FF276E">
        <w:t xml:space="preserve"> posible (7.7.2). M3-SPNSP es el conjunto de datos con mejor equilibrio global: AUC de </w:t>
      </w:r>
      <w:r w:rsidRPr="002D0178">
        <w:rPr>
          <w:i/>
        </w:rPr>
        <w:t>test</w:t>
      </w:r>
      <w:r w:rsidRPr="00FF276E">
        <w:t xml:space="preserve"> alto (0.925), el mejor AP de los siete </w:t>
      </w:r>
      <w:r w:rsidRPr="006825B8">
        <w:t>conjuntos de datos</w:t>
      </w:r>
      <w:r w:rsidRPr="00FF276E">
        <w:t xml:space="preserve"> (0.860) sobre una muestra de prueba de 50.897 observaciones (dos órdenes de magnitud mayor que M1), y la menor </w:t>
      </w:r>
      <w:r w:rsidRPr="00F0520D">
        <w:rPr>
          <w:i/>
        </w:rPr>
        <w:t>diferencia</w:t>
      </w:r>
      <w:r w:rsidRPr="00FF276E">
        <w:t xml:space="preserve"> </w:t>
      </w:r>
      <w:r w:rsidRPr="002D0178">
        <w:rPr>
          <w:i/>
        </w:rPr>
        <w:t>train</w:t>
      </w:r>
      <w:r w:rsidRPr="00FF276E">
        <w:t>-</w:t>
      </w:r>
      <w:r w:rsidRPr="002D0178">
        <w:rPr>
          <w:i/>
        </w:rPr>
        <w:t>test</w:t>
      </w:r>
      <w:r w:rsidRPr="00FF276E">
        <w:t xml:space="preserve"> proporcional a su complejidad (+0.027, tras el proceso de selección de </w:t>
      </w:r>
      <w:r w:rsidRPr="006825B8">
        <w:t>características</w:t>
      </w:r>
      <w:r w:rsidRPr="00FF276E">
        <w:t xml:space="preserve"> de 6.4). El conjunto de datos M2 de familia Pango obtiene 0.886, la métrica relevante para el sistema de vigilancia por familias. M2-SPNSP30 (0.875) es ligeramente peor que M2: añadir 30 </w:t>
      </w:r>
      <w:r w:rsidRPr="006825B8">
        <w:t>características</w:t>
      </w:r>
      <w:r w:rsidRPr="00FF276E">
        <w:t xml:space="preserve"> mutacionales reduce el AUC en </w:t>
      </w:r>
      <w:r w:rsidRPr="002D0178">
        <w:rPr>
          <w:i/>
        </w:rPr>
        <w:t>test</w:t>
      </w:r>
      <w:r w:rsidRPr="00FF276E">
        <w:t>, por las razones de generalización entre épocas discutidas en 5.3.</w:t>
      </w:r>
    </w:p>
    <w:p w14:paraId="5BAEF9A4" w14:textId="56708C8F" w:rsidR="00AE4C5F" w:rsidRPr="00FF276E" w:rsidRDefault="00E35FF3">
      <w:pPr>
        <w:jc w:val="both"/>
      </w:pPr>
      <w:r w:rsidRPr="00FF276E">
        <w:t xml:space="preserve">El Lift (cociente entre la tasa de positivos en el decil superior de la </w:t>
      </w:r>
      <w:r w:rsidRPr="006825B8">
        <w:rPr>
          <w:i/>
        </w:rPr>
        <w:t>priorización</w:t>
      </w:r>
      <w:r w:rsidRPr="00FF276E">
        <w:t xml:space="preserve"> vs. la tasa base) entre 3.8x y 5.3x indica que los modelos identifican correctamente entre 4 y 5 veces más variantes </w:t>
      </w:r>
      <w:r w:rsidRPr="00FF276E">
        <w:lastRenderedPageBreak/>
        <w:t xml:space="preserve">emergentes en su top-10% que lo esperado por azar. Para un sistema de vigilancia que prioriza recursos de secuenciación, este nivel de precisión en el top de la </w:t>
      </w:r>
      <w:r w:rsidRPr="006825B8">
        <w:rPr>
          <w:i/>
        </w:rPr>
        <w:t>priorización</w:t>
      </w:r>
      <w:r w:rsidRPr="00FF276E">
        <w:t xml:space="preserve"> es la métrica operativa más relevante (</w:t>
      </w:r>
      <w:r w:rsidR="002D022C" w:rsidRPr="00FF276E">
        <w:t>Figura 7.3</w:t>
      </w:r>
      <w:r w:rsidRPr="00FF276E">
        <w:t>).</w:t>
      </w:r>
    </w:p>
    <w:p w14:paraId="62ABE87C" w14:textId="36CD3014" w:rsidR="00161FE3" w:rsidRDefault="00D23153">
      <w:pPr>
        <w:keepNext/>
        <w:spacing w:before="280" w:after="80"/>
        <w:jc w:val="center"/>
      </w:pPr>
      <w:r>
        <w:drawing>
          <wp:anchor distT="0" distB="0" distL="114300" distR="114300" simplePos="0" relativeHeight="251658249" behindDoc="0" locked="0" layoutInCell="1" allowOverlap="1" wp14:anchorId="423A6DCC" wp14:editId="13271695">
            <wp:simplePos x="0" y="0"/>
            <wp:positionH relativeFrom="column">
              <wp:posOffset>213995</wp:posOffset>
            </wp:positionH>
            <wp:positionV relativeFrom="paragraph">
              <wp:posOffset>342900</wp:posOffset>
            </wp:positionV>
            <wp:extent cx="5486400" cy="4545756"/>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3a_roc.png"/>
                    <pic:cNvPicPr/>
                  </pic:nvPicPr>
                  <pic:blipFill>
                    <a:blip r:embed="rId20"/>
                    <a:stretch>
                      <a:fillRect/>
                    </a:stretch>
                  </pic:blipFill>
                  <pic:spPr>
                    <a:xfrm>
                      <a:off x="0" y="0"/>
                      <a:ext cx="5486400" cy="4545756"/>
                    </a:xfrm>
                    <a:prstGeom prst="rect">
                      <a:avLst/>
                    </a:prstGeom>
                  </pic:spPr>
                </pic:pic>
              </a:graphicData>
            </a:graphic>
          </wp:anchor>
        </w:drawing>
      </w:r>
    </w:p>
    <w:p w14:paraId="7802CA10" w14:textId="77777777" w:rsidR="00161FE3" w:rsidRDefault="00000000">
      <w:pPr>
        <w:keepLines/>
        <w:spacing w:before="80" w:after="280"/>
        <w:jc w:val="center"/>
      </w:pPr>
      <w:r>
        <w:rPr>
          <w:b/>
        </w:rPr>
        <w:t>Figura 7.3a. Curvas ROC de los siete conjuntos de datos en test (corte junio 2023): el área bajo cada curva es el AUC de test.</w:t>
      </w:r>
    </w:p>
    <w:p w14:paraId="1E0ED308" w14:textId="77777777" w:rsidR="00161FE3" w:rsidRDefault="00000000">
      <w:pPr>
        <w:keepNext/>
        <w:spacing w:before="280" w:after="80"/>
        <w:jc w:val="center"/>
      </w:pPr>
      <w:r>
        <w:lastRenderedPageBreak/>
        <w:drawing>
          <wp:anchor distT="0" distB="0" distL="114300" distR="114300" simplePos="0" relativeHeight="251658250" behindDoc="0" locked="0" layoutInCell="1" allowOverlap="1" wp14:anchorId="633158ED" wp14:editId="20DFF3C6">
            <wp:simplePos x="0" y="0"/>
            <wp:positionH relativeFrom="column">
              <wp:posOffset>177165</wp:posOffset>
            </wp:positionH>
            <wp:positionV relativeFrom="paragraph">
              <wp:posOffset>227965</wp:posOffset>
            </wp:positionV>
            <wp:extent cx="5486400" cy="4545756"/>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3b_pr.png"/>
                    <pic:cNvPicPr/>
                  </pic:nvPicPr>
                  <pic:blipFill>
                    <a:blip r:embed="rId21"/>
                    <a:stretch>
                      <a:fillRect/>
                    </a:stretch>
                  </pic:blipFill>
                  <pic:spPr>
                    <a:xfrm>
                      <a:off x="0" y="0"/>
                      <a:ext cx="5486400" cy="4545756"/>
                    </a:xfrm>
                    <a:prstGeom prst="rect">
                      <a:avLst/>
                    </a:prstGeom>
                  </pic:spPr>
                </pic:pic>
              </a:graphicData>
            </a:graphic>
          </wp:anchor>
        </w:drawing>
      </w:r>
    </w:p>
    <w:p w14:paraId="39C2A044" w14:textId="77777777" w:rsidR="00161FE3" w:rsidRDefault="00000000">
      <w:pPr>
        <w:keepLines/>
        <w:spacing w:before="80" w:after="280"/>
        <w:jc w:val="center"/>
      </w:pPr>
      <w:r>
        <w:rPr>
          <w:b/>
        </w:rPr>
        <w:t>Figura 7.3b. Curvas Precision-Recall de los siete conjuntos de datos en test, con la línea punteada como referencia del baseline por azar de cada uno.</w:t>
      </w:r>
    </w:p>
    <w:p w14:paraId="545381AF" w14:textId="77777777" w:rsidR="00AE4C5F" w:rsidRPr="00FF276E" w:rsidRDefault="00E35FF3">
      <w:pPr>
        <w:pStyle w:val="Ttulo3"/>
        <w:rPr>
          <w:color w:val="4F81BD"/>
        </w:rPr>
      </w:pPr>
      <w:bookmarkStart w:id="75" w:name="_Toc234787632"/>
      <w:bookmarkStart w:id="76" w:name="_Toc238464660"/>
      <w:r w:rsidRPr="00FF276E">
        <w:rPr>
          <w:color w:val="4F81BD"/>
        </w:rPr>
        <w:t>7.2.2. Validación progresiva por épocas pandémicas</w:t>
      </w:r>
      <w:bookmarkEnd w:id="75"/>
      <w:bookmarkEnd w:id="76"/>
    </w:p>
    <w:p w14:paraId="22A30A91" w14:textId="77777777" w:rsidR="00AE4C5F" w:rsidRPr="00FF276E" w:rsidRDefault="00E35FF3">
      <w:pPr>
        <w:jc w:val="both"/>
      </w:pPr>
      <w:r w:rsidRPr="00FF276E">
        <w:t xml:space="preserve">La </w:t>
      </w:r>
      <w:r w:rsidRPr="000E2107">
        <w:rPr>
          <w:i/>
        </w:rPr>
        <w:t>validación progresiva</w:t>
      </w:r>
      <w:r w:rsidRPr="00FF276E">
        <w:t xml:space="preserve"> sobre 5 folds pandémicos ofrece la estimación de rendimiento más conservadora y biológicamente significativa (Tabla 7.2):</w:t>
      </w:r>
    </w:p>
    <w:p w14:paraId="63D9170B" w14:textId="77777777" w:rsidR="00237D4B" w:rsidRPr="00FF276E" w:rsidRDefault="00E35FF3">
      <w:pPr>
        <w:keepNext/>
        <w:spacing w:before="280" w:after="80"/>
        <w:jc w:val="center"/>
      </w:pPr>
      <w:r w:rsidRPr="00FF276E">
        <w:rPr>
          <w:b/>
        </w:rPr>
        <w:t>Tabla 7.2. AUC de validación progresiva (media y std) comparado con la partición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823"/>
        <w:gridCol w:w="1823"/>
        <w:gridCol w:w="1822"/>
        <w:gridCol w:w="1822"/>
        <w:gridCol w:w="1822"/>
      </w:tblGrid>
      <w:tr w:rsidR="00AE4C5F" w:rsidRPr="00FF276E" w14:paraId="7CDD5A43" w14:textId="77777777">
        <w:trPr>
          <w:cantSplit/>
          <w:tblHeader/>
          <w:jc w:val="center"/>
        </w:trPr>
        <w:tc>
          <w:tcPr>
            <w:tcW w:w="1824" w:type="dxa"/>
            <w:shd w:val="clear" w:color="auto" w:fill="DCE6F1"/>
          </w:tcPr>
          <w:p w14:paraId="1A55EDF2" w14:textId="77777777" w:rsidR="00237D4B" w:rsidRPr="00FF276E" w:rsidRDefault="00E35FF3">
            <w:r w:rsidRPr="00FF276E">
              <w:rPr>
                <w:b/>
              </w:rPr>
              <w:t>Modelo</w:t>
            </w:r>
          </w:p>
        </w:tc>
        <w:tc>
          <w:tcPr>
            <w:tcW w:w="1824" w:type="dxa"/>
            <w:shd w:val="clear" w:color="auto" w:fill="DCE6F1"/>
          </w:tcPr>
          <w:p w14:paraId="6D96146F" w14:textId="77777777" w:rsidR="00237D4B" w:rsidRPr="00FF276E" w:rsidRDefault="00E35FF3">
            <w:r w:rsidRPr="00FF276E">
              <w:rPr>
                <w:b/>
              </w:rPr>
              <w:t>AUC WF (media)</w:t>
            </w:r>
          </w:p>
        </w:tc>
        <w:tc>
          <w:tcPr>
            <w:tcW w:w="1824" w:type="dxa"/>
            <w:shd w:val="clear" w:color="auto" w:fill="DCE6F1"/>
          </w:tcPr>
          <w:p w14:paraId="319AD704" w14:textId="77777777" w:rsidR="00237D4B" w:rsidRPr="00FF276E" w:rsidRDefault="00E35FF3">
            <w:r w:rsidRPr="00FF276E">
              <w:rPr>
                <w:b/>
              </w:rPr>
              <w:t>Std</w:t>
            </w:r>
          </w:p>
        </w:tc>
        <w:tc>
          <w:tcPr>
            <w:tcW w:w="1824" w:type="dxa"/>
            <w:shd w:val="clear" w:color="auto" w:fill="DCE6F1"/>
          </w:tcPr>
          <w:p w14:paraId="1C37957D" w14:textId="77777777" w:rsidR="00237D4B" w:rsidRPr="00FF276E" w:rsidRDefault="00E35FF3">
            <w:r w:rsidRPr="00FF276E">
              <w:rPr>
                <w:b/>
              </w:rPr>
              <w:t xml:space="preserve">AUC </w:t>
            </w:r>
            <w:r w:rsidRPr="002D0178">
              <w:rPr>
                <w:b/>
                <w:i/>
              </w:rPr>
              <w:t>test</w:t>
            </w:r>
            <w:r w:rsidRPr="00FF276E">
              <w:rPr>
                <w:b/>
              </w:rPr>
              <w:t xml:space="preserve"> (</w:t>
            </w:r>
            <w:r w:rsidRPr="006825B8">
              <w:rPr>
                <w:b/>
                <w:i/>
              </w:rPr>
              <w:t>split</w:t>
            </w:r>
            <w:r w:rsidRPr="00FF276E">
              <w:rPr>
                <w:b/>
              </w:rPr>
              <w:t>)</w:t>
            </w:r>
          </w:p>
        </w:tc>
        <w:tc>
          <w:tcPr>
            <w:tcW w:w="1824" w:type="dxa"/>
            <w:shd w:val="clear" w:color="auto" w:fill="DCE6F1"/>
          </w:tcPr>
          <w:p w14:paraId="1B6E9881" w14:textId="77777777" w:rsidR="00237D4B" w:rsidRPr="00FF276E" w:rsidRDefault="00E35FF3">
            <w:r w:rsidRPr="00FF276E">
              <w:rPr>
                <w:b/>
              </w:rPr>
              <w:t>Delta (WF-</w:t>
            </w:r>
            <w:r w:rsidRPr="006825B8">
              <w:rPr>
                <w:b/>
                <w:i/>
              </w:rPr>
              <w:t>split</w:t>
            </w:r>
            <w:r w:rsidRPr="00FF276E">
              <w:rPr>
                <w:b/>
              </w:rPr>
              <w:t>)</w:t>
            </w:r>
          </w:p>
        </w:tc>
      </w:tr>
      <w:tr w:rsidR="00237D4B" w:rsidRPr="00FF276E" w14:paraId="198089F8" w14:textId="77777777">
        <w:trPr>
          <w:cantSplit/>
          <w:jc w:val="center"/>
        </w:trPr>
        <w:tc>
          <w:tcPr>
            <w:tcW w:w="1824" w:type="dxa"/>
          </w:tcPr>
          <w:p w14:paraId="52DCAE88" w14:textId="77777777" w:rsidR="00237D4B" w:rsidRPr="00FF276E" w:rsidRDefault="00E35FF3">
            <w:r w:rsidRPr="00FF276E">
              <w:t>M2</w:t>
            </w:r>
          </w:p>
        </w:tc>
        <w:tc>
          <w:tcPr>
            <w:tcW w:w="1824" w:type="dxa"/>
          </w:tcPr>
          <w:p w14:paraId="77206A59" w14:textId="77777777" w:rsidR="00237D4B" w:rsidRPr="00FF276E" w:rsidRDefault="00E35FF3">
            <w:r w:rsidRPr="00FF276E">
              <w:t>0.8772</w:t>
            </w:r>
          </w:p>
        </w:tc>
        <w:tc>
          <w:tcPr>
            <w:tcW w:w="1824" w:type="dxa"/>
          </w:tcPr>
          <w:p w14:paraId="319CDB75" w14:textId="77777777" w:rsidR="00237D4B" w:rsidRPr="00FF276E" w:rsidRDefault="00E35FF3">
            <w:r w:rsidRPr="00FF276E">
              <w:t>0.0256</w:t>
            </w:r>
          </w:p>
        </w:tc>
        <w:tc>
          <w:tcPr>
            <w:tcW w:w="1824" w:type="dxa"/>
          </w:tcPr>
          <w:p w14:paraId="699BEC8C" w14:textId="77777777" w:rsidR="00237D4B" w:rsidRPr="00FF276E" w:rsidRDefault="00E35FF3">
            <w:r w:rsidRPr="00FF276E">
              <w:t>0.8855</w:t>
            </w:r>
          </w:p>
        </w:tc>
        <w:tc>
          <w:tcPr>
            <w:tcW w:w="1824" w:type="dxa"/>
          </w:tcPr>
          <w:p w14:paraId="1DCE96EB" w14:textId="77777777" w:rsidR="00237D4B" w:rsidRPr="00FF276E" w:rsidRDefault="00E35FF3">
            <w:r w:rsidRPr="00FF276E">
              <w:t>-0.008</w:t>
            </w:r>
          </w:p>
        </w:tc>
      </w:tr>
      <w:tr w:rsidR="00237D4B" w:rsidRPr="00FF276E" w14:paraId="687069B9" w14:textId="77777777">
        <w:trPr>
          <w:cantSplit/>
          <w:jc w:val="center"/>
        </w:trPr>
        <w:tc>
          <w:tcPr>
            <w:tcW w:w="1824" w:type="dxa"/>
          </w:tcPr>
          <w:p w14:paraId="7339A557" w14:textId="77777777" w:rsidR="00237D4B" w:rsidRPr="00FF276E" w:rsidRDefault="00E35FF3">
            <w:r w:rsidRPr="00FF276E">
              <w:t>M2-SPNSP30</w:t>
            </w:r>
          </w:p>
        </w:tc>
        <w:tc>
          <w:tcPr>
            <w:tcW w:w="1824" w:type="dxa"/>
          </w:tcPr>
          <w:p w14:paraId="0588E7EE" w14:textId="77777777" w:rsidR="00237D4B" w:rsidRPr="00FF276E" w:rsidRDefault="00E35FF3">
            <w:r w:rsidRPr="00FF276E">
              <w:t>0.8265</w:t>
            </w:r>
          </w:p>
        </w:tc>
        <w:tc>
          <w:tcPr>
            <w:tcW w:w="1824" w:type="dxa"/>
          </w:tcPr>
          <w:p w14:paraId="70364989" w14:textId="77777777" w:rsidR="00237D4B" w:rsidRPr="00FF276E" w:rsidRDefault="00E35FF3">
            <w:r w:rsidRPr="00FF276E">
              <w:t>0.0765</w:t>
            </w:r>
          </w:p>
        </w:tc>
        <w:tc>
          <w:tcPr>
            <w:tcW w:w="1824" w:type="dxa"/>
          </w:tcPr>
          <w:p w14:paraId="6DAFEFD3" w14:textId="77777777" w:rsidR="00237D4B" w:rsidRPr="00FF276E" w:rsidRDefault="00E35FF3">
            <w:r w:rsidRPr="00FF276E">
              <w:t>0.8746</w:t>
            </w:r>
          </w:p>
        </w:tc>
        <w:tc>
          <w:tcPr>
            <w:tcW w:w="1824" w:type="dxa"/>
          </w:tcPr>
          <w:p w14:paraId="11905097" w14:textId="77777777" w:rsidR="00237D4B" w:rsidRPr="00FF276E" w:rsidRDefault="00E35FF3">
            <w:r w:rsidRPr="00FF276E">
              <w:t>-0.048</w:t>
            </w:r>
          </w:p>
        </w:tc>
      </w:tr>
      <w:tr w:rsidR="00237D4B" w:rsidRPr="00FF276E" w14:paraId="2A50EFAB" w14:textId="77777777">
        <w:trPr>
          <w:cantSplit/>
          <w:jc w:val="center"/>
        </w:trPr>
        <w:tc>
          <w:tcPr>
            <w:tcW w:w="1824" w:type="dxa"/>
          </w:tcPr>
          <w:p w14:paraId="3B94D93D" w14:textId="77777777" w:rsidR="00237D4B" w:rsidRPr="00FF276E" w:rsidRDefault="00E35FF3">
            <w:r w:rsidRPr="00FF276E">
              <w:t>M3-SPNSP</w:t>
            </w:r>
          </w:p>
        </w:tc>
        <w:tc>
          <w:tcPr>
            <w:tcW w:w="1824" w:type="dxa"/>
          </w:tcPr>
          <w:p w14:paraId="585EDCBD" w14:textId="77777777" w:rsidR="00237D4B" w:rsidRPr="00FF276E" w:rsidRDefault="00E35FF3">
            <w:r w:rsidRPr="00FF276E">
              <w:t>0.8722</w:t>
            </w:r>
          </w:p>
        </w:tc>
        <w:tc>
          <w:tcPr>
            <w:tcW w:w="1824" w:type="dxa"/>
          </w:tcPr>
          <w:p w14:paraId="4A4727DC" w14:textId="77777777" w:rsidR="00237D4B" w:rsidRPr="00FF276E" w:rsidRDefault="00E35FF3">
            <w:r w:rsidRPr="00FF276E">
              <w:t>0.0579</w:t>
            </w:r>
          </w:p>
        </w:tc>
        <w:tc>
          <w:tcPr>
            <w:tcW w:w="1824" w:type="dxa"/>
          </w:tcPr>
          <w:p w14:paraId="26D0FDA9" w14:textId="77777777" w:rsidR="00237D4B" w:rsidRPr="00FF276E" w:rsidRDefault="00E35FF3">
            <w:r w:rsidRPr="00FF276E">
              <w:t>0.9251</w:t>
            </w:r>
          </w:p>
        </w:tc>
        <w:tc>
          <w:tcPr>
            <w:tcW w:w="1824" w:type="dxa"/>
          </w:tcPr>
          <w:p w14:paraId="3AA014F6" w14:textId="77777777" w:rsidR="00237D4B" w:rsidRPr="00FF276E" w:rsidRDefault="00E35FF3">
            <w:r w:rsidRPr="00FF276E">
              <w:t>-0.053</w:t>
            </w:r>
          </w:p>
        </w:tc>
      </w:tr>
      <w:tr w:rsidR="00237D4B" w:rsidRPr="00FF276E" w14:paraId="3F79A299" w14:textId="77777777">
        <w:trPr>
          <w:cantSplit/>
          <w:jc w:val="center"/>
        </w:trPr>
        <w:tc>
          <w:tcPr>
            <w:tcW w:w="1824" w:type="dxa"/>
          </w:tcPr>
          <w:p w14:paraId="7E0745D7" w14:textId="77777777" w:rsidR="00237D4B" w:rsidRPr="00FF276E" w:rsidRDefault="00E35FF3">
            <w:r w:rsidRPr="00FF276E">
              <w:t>M3-ALL</w:t>
            </w:r>
          </w:p>
        </w:tc>
        <w:tc>
          <w:tcPr>
            <w:tcW w:w="1824" w:type="dxa"/>
          </w:tcPr>
          <w:p w14:paraId="780F3752" w14:textId="77777777" w:rsidR="00237D4B" w:rsidRPr="00FF276E" w:rsidRDefault="00E35FF3">
            <w:r w:rsidRPr="00FF276E">
              <w:t>0.7880</w:t>
            </w:r>
          </w:p>
        </w:tc>
        <w:tc>
          <w:tcPr>
            <w:tcW w:w="1824" w:type="dxa"/>
          </w:tcPr>
          <w:p w14:paraId="7ACA4C7B" w14:textId="77777777" w:rsidR="00237D4B" w:rsidRPr="00FF276E" w:rsidRDefault="00E35FF3">
            <w:r w:rsidRPr="00FF276E">
              <w:t>0.0435</w:t>
            </w:r>
          </w:p>
        </w:tc>
        <w:tc>
          <w:tcPr>
            <w:tcW w:w="1824" w:type="dxa"/>
          </w:tcPr>
          <w:p w14:paraId="3DE50917" w14:textId="77777777" w:rsidR="00237D4B" w:rsidRPr="00FF276E" w:rsidRDefault="00E35FF3">
            <w:r w:rsidRPr="00FF276E">
              <w:t>0.8535</w:t>
            </w:r>
          </w:p>
        </w:tc>
        <w:tc>
          <w:tcPr>
            <w:tcW w:w="1824" w:type="dxa"/>
          </w:tcPr>
          <w:p w14:paraId="169A7B51" w14:textId="77777777" w:rsidR="00237D4B" w:rsidRPr="00FF276E" w:rsidRDefault="00E35FF3">
            <w:r w:rsidRPr="00FF276E">
              <w:t>-0.065</w:t>
            </w:r>
          </w:p>
        </w:tc>
      </w:tr>
    </w:tbl>
    <w:p w14:paraId="49CBA65E" w14:textId="77777777" w:rsidR="00237D4B" w:rsidRPr="00FF276E" w:rsidRDefault="00E35FF3">
      <w:pPr>
        <w:jc w:val="both"/>
      </w:pPr>
      <w:r w:rsidRPr="00FF276E">
        <w:t xml:space="preserve">El detalle de AUC por época pandémica y fold, para los cuatro </w:t>
      </w:r>
      <w:r w:rsidRPr="006825B8">
        <w:t>conjuntos de datos</w:t>
      </w:r>
      <w:r w:rsidRPr="00FF276E">
        <w:t xml:space="preserve"> con </w:t>
      </w:r>
      <w:r w:rsidRPr="000E2107">
        <w:rPr>
          <w:i/>
        </w:rPr>
        <w:t>validación progresiva</w:t>
      </w:r>
      <w:r w:rsidRPr="00FF276E">
        <w:t xml:space="preserve">, se muestra en la </w:t>
      </w:r>
      <w:r w:rsidR="002D022C" w:rsidRPr="00FF276E">
        <w:t>Figura 7.4</w:t>
      </w:r>
      <w:r w:rsidRPr="00FF276E">
        <w:t>.</w:t>
      </w:r>
    </w:p>
    <w:p w14:paraId="24BA4EC6" w14:textId="77777777" w:rsidR="00AE4C5F" w:rsidRPr="00FF276E" w:rsidRDefault="00E35FF3">
      <w:pPr>
        <w:jc w:val="both"/>
      </w:pPr>
      <w:r w:rsidRPr="00FF276E">
        <w:t xml:space="preserve">El resultado más importante de este análisis por fold es que la </w:t>
      </w:r>
      <w:r w:rsidRPr="000E2107">
        <w:rPr>
          <w:i/>
        </w:rPr>
        <w:t>validación progresiva</w:t>
      </w:r>
      <w:r w:rsidRPr="00FF276E">
        <w:t xml:space="preserve"> es consistentemente menor que la </w:t>
      </w:r>
      <w:r w:rsidRPr="006825B8">
        <w:rPr>
          <w:i/>
        </w:rPr>
        <w:t>partición</w:t>
      </w:r>
      <w:r w:rsidRPr="00FF276E">
        <w:t xml:space="preserve"> en los cuatro </w:t>
      </w:r>
      <w:r w:rsidRPr="006825B8">
        <w:t>conjuntos de datos</w:t>
      </w:r>
      <w:r w:rsidRPr="00FF276E">
        <w:t xml:space="preserve"> (Delta negativo), la firma esperada de una metodología sin filtraciones (4.3). El segundo resultado, más inesperado, es que tras diagnosticar y corregir un problema de generalización en M2/M2-SPNSP30 con una regularización más </w:t>
      </w:r>
      <w:r w:rsidRPr="00FF276E">
        <w:lastRenderedPageBreak/>
        <w:t xml:space="preserve">fuerte (menos hojas, un tamaño mínimo de muestras por hoja más alto (min_child_samples) y mayor penalización L2 (reg_lambda), ver 8.1), M2 pasa a tener tanto la media más alta como el std más bajo de los cuatro </w:t>
      </w:r>
      <w:r w:rsidRPr="006825B8">
        <w:t>conjuntos de datos</w:t>
      </w:r>
      <w:r w:rsidRPr="00FF276E">
        <w:t xml:space="preserve"> (0.8772 +/- 0.0256), por delante de M3-SPNSP (0.8722 +/- 0.0579), corrigiendo una conclusión anterior de este proyecto que atribuía a M3-SPNSP la mayor estabilidad entre épocas.</w:t>
      </w:r>
    </w:p>
    <w:p w14:paraId="1A6CC79E" w14:textId="77777777" w:rsidR="00AE4C5F" w:rsidRPr="00FF276E" w:rsidRDefault="00E35FF3">
      <w:pPr>
        <w:jc w:val="both"/>
      </w:pPr>
      <w:r w:rsidRPr="00FF276E">
        <w:t xml:space="preserve">El fold más exigente para M2-SPNSP30 es XBB, donde cae a AUC=0.6972 mientras M2 puro se mantiene en 0.8767: las 30 </w:t>
      </w:r>
      <w:r w:rsidRPr="006825B8">
        <w:t>características</w:t>
      </w:r>
      <w:r w:rsidRPr="00FF276E">
        <w:t xml:space="preserve"> mutacionales fueron seleccionadas sobre información posterior a BA.4/5 y no transfieren bien al contexto mutacional sin precedente de la recombinación BA.2/XBB. M2 puro, basado en </w:t>
      </w:r>
      <w:r w:rsidRPr="006825B8">
        <w:t>características</w:t>
      </w:r>
      <w:r w:rsidRPr="00FF276E">
        <w:t xml:space="preserve"> temporales universales, mantiene un AUC alto en los cinco folds (std=0.0256, el más bajo del grupo). M3-SPNSP, por su parte, alcanza su mejor resultado de toda la </w:t>
      </w:r>
      <w:r w:rsidRPr="000E2107">
        <w:rPr>
          <w:i/>
        </w:rPr>
        <w:t>validación progresiva</w:t>
      </w:r>
      <w:r w:rsidRPr="00FF276E">
        <w:t xml:space="preserve"> en el fold XFG (0.9638), el fold más cercano temporalmente a la semana de referencia de la </w:t>
      </w:r>
      <w:r w:rsidRPr="006825B8">
        <w:rPr>
          <w:i/>
        </w:rPr>
        <w:t>priorización</w:t>
      </w:r>
      <w:r w:rsidRPr="00FF276E">
        <w:t xml:space="preserve"> de vigilancia (7.4).</w:t>
      </w:r>
    </w:p>
    <w:p w14:paraId="5A32A907" w14:textId="77777777" w:rsidR="00AE4C5F" w:rsidRPr="00FF276E" w:rsidRDefault="00E35FF3">
      <w:pPr>
        <w:jc w:val="both"/>
      </w:pPr>
      <w:r w:rsidRPr="00FF276E">
        <w:t xml:space="preserve">La variabilidad entre folds de M3-SPNSP (std=0.0579) es ahora mayor que la de M2 (std=0.0256), al contrario de lo que sugería una versión anterior de este análisis. Esto no resta valor a M3-SPNSP como capa de vigilancia mutacional (sigue teniendo el mejor AP y la mejor </w:t>
      </w:r>
      <w:r w:rsidRPr="00F0520D">
        <w:rPr>
          <w:i/>
        </w:rPr>
        <w:t>diferencia</w:t>
      </w:r>
      <w:r w:rsidRPr="00FF276E">
        <w:t xml:space="preserve"> proporcional del sistema, 7.2.1), pero sí matiza la elección de M2 como señal principal para la </w:t>
      </w:r>
      <w:r w:rsidRPr="006825B8">
        <w:rPr>
          <w:i/>
        </w:rPr>
        <w:t>priorización</w:t>
      </w:r>
      <w:r w:rsidRPr="00FF276E">
        <w:t xml:space="preserve"> de familias (7.4): a ese nivel de granularidad, la estabilidad entre épocas pandémicas cualitativamente distintas pesa más que el pico de rendimiento en un fold concreto (</w:t>
      </w:r>
      <w:r w:rsidR="002D022C" w:rsidRPr="00FF276E">
        <w:t>Figura 7.4</w:t>
      </w:r>
      <w:r w:rsidRPr="00FF276E">
        <w:t>). La sensibilidad de M2/M2-SPNSP30 a la regularización (</w:t>
      </w:r>
      <w:r w:rsidR="002D022C" w:rsidRPr="00FF276E">
        <w:t>Figura 7.5</w:t>
      </w:r>
      <w:r w:rsidRPr="00FF276E">
        <w:t>) muestra que este resultado no fue casualidad de una única configuración probada.</w:t>
      </w:r>
    </w:p>
    <w:p w14:paraId="648B46F6" w14:textId="1D9646B3" w:rsidR="00161FE3" w:rsidRDefault="00000000">
      <w:pPr>
        <w:keepNext/>
        <w:spacing w:before="280" w:after="80"/>
        <w:jc w:val="center"/>
      </w:pPr>
      <w:r>
        <w:lastRenderedPageBreak/>
        <w:drawing>
          <wp:anchor distT="0" distB="0" distL="114300" distR="114300" simplePos="0" relativeHeight="251658252" behindDoc="0" locked="0" layoutInCell="1" allowOverlap="1" wp14:anchorId="6264430E" wp14:editId="267A57AB">
            <wp:simplePos x="0" y="0"/>
            <wp:positionH relativeFrom="column">
              <wp:posOffset>718185</wp:posOffset>
            </wp:positionH>
            <wp:positionV relativeFrom="paragraph">
              <wp:posOffset>342265</wp:posOffset>
            </wp:positionV>
            <wp:extent cx="4488180" cy="3108325"/>
            <wp:effectExtent l="0" t="0" r="762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4a_wf_fechas.png"/>
                    <pic:cNvPicPr/>
                  </pic:nvPicPr>
                  <pic:blipFill>
                    <a:blip r:embed="rId23"/>
                    <a:stretch>
                      <a:fillRect/>
                    </a:stretch>
                  </pic:blipFill>
                  <pic:spPr>
                    <a:xfrm>
                      <a:off x="0" y="0"/>
                      <a:ext cx="4488180" cy="3108325"/>
                    </a:xfrm>
                    <a:prstGeom prst="rect">
                      <a:avLst/>
                    </a:prstGeom>
                  </pic:spPr>
                </pic:pic>
              </a:graphicData>
            </a:graphic>
            <wp14:sizeRelH relativeFrom="margin">
              <wp14:pctWidth>0</wp14:pctWidth>
            </wp14:sizeRelH>
            <wp14:sizeRelV relativeFrom="margin">
              <wp14:pctHeight>0</wp14:pctHeight>
            </wp14:sizeRelV>
          </wp:anchor>
        </w:drawing>
      </w:r>
    </w:p>
    <w:p w14:paraId="4E2E27E7" w14:textId="48F5DD62" w:rsidR="00161FE3" w:rsidRDefault="00000000">
      <w:pPr>
        <w:keepLines/>
        <w:spacing w:before="80" w:after="280"/>
        <w:jc w:val="center"/>
      </w:pPr>
      <w:r>
        <w:rPr>
          <w:b/>
        </w:rPr>
        <w:t>Figura 7.4a. AUC de validación progresiva por época pandémica, en el eje real de fechas de inicio de cada fold, para los cuatro conjuntos de datos evaluados.</w:t>
      </w:r>
    </w:p>
    <w:p w14:paraId="5BBDAF45" w14:textId="1B3AD1C5" w:rsidR="00161FE3" w:rsidRDefault="00C06216">
      <w:pPr>
        <w:keepNext/>
        <w:spacing w:before="280" w:after="80"/>
        <w:jc w:val="center"/>
      </w:pPr>
      <w:r>
        <w:drawing>
          <wp:anchor distT="0" distB="0" distL="114300" distR="114300" simplePos="0" relativeHeight="251660321" behindDoc="0" locked="0" layoutInCell="1" allowOverlap="1" wp14:anchorId="72E077DD" wp14:editId="6B40C833">
            <wp:simplePos x="0" y="0"/>
            <wp:positionH relativeFrom="column">
              <wp:posOffset>1127125</wp:posOffset>
            </wp:positionH>
            <wp:positionV relativeFrom="paragraph">
              <wp:posOffset>285115</wp:posOffset>
            </wp:positionV>
            <wp:extent cx="3697605" cy="286004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4b_wf_media_std.png"/>
                    <pic:cNvPicPr/>
                  </pic:nvPicPr>
                  <pic:blipFill>
                    <a:blip r:embed="rId24"/>
                    <a:stretch>
                      <a:fillRect/>
                    </a:stretch>
                  </pic:blipFill>
                  <pic:spPr>
                    <a:xfrm>
                      <a:off x="0" y="0"/>
                      <a:ext cx="3697605" cy="2860040"/>
                    </a:xfrm>
                    <a:prstGeom prst="rect">
                      <a:avLst/>
                    </a:prstGeom>
                  </pic:spPr>
                </pic:pic>
              </a:graphicData>
            </a:graphic>
            <wp14:sizeRelH relativeFrom="margin">
              <wp14:pctWidth>0</wp14:pctWidth>
            </wp14:sizeRelH>
            <wp14:sizeRelV relativeFrom="margin">
              <wp14:pctHeight>0</wp14:pctHeight>
            </wp14:sizeRelV>
          </wp:anchor>
        </w:drawing>
      </w:r>
    </w:p>
    <w:p w14:paraId="16F9C88E" w14:textId="2D3885DD" w:rsidR="00161FE3" w:rsidRDefault="00000000">
      <w:pPr>
        <w:keepLines/>
        <w:spacing w:before="80" w:after="280"/>
        <w:jc w:val="center"/>
      </w:pPr>
      <w:r>
        <w:rPr>
          <w:b/>
        </w:rPr>
        <w:t>Figura 7.4b. AUC media ± desviación típica de la validación progresiva (test), por conjunto de datos. Es consistentemente igual o inferior al AUC de la partición temporal fija, la firma esperada cuando no hay fuga de información entre entrenamiento y validación.</w:t>
      </w:r>
    </w:p>
    <w:p w14:paraId="078FA4F0" w14:textId="77777777" w:rsidR="00161FE3" w:rsidRDefault="00000000">
      <w:pPr>
        <w:keepNext/>
        <w:spacing w:before="280" w:after="80"/>
        <w:jc w:val="center"/>
      </w:pPr>
      <w:r>
        <w:lastRenderedPageBreak/>
        <w:drawing>
          <wp:anchor distT="0" distB="0" distL="114300" distR="114300" simplePos="0" relativeHeight="251658254" behindDoc="0" locked="0" layoutInCell="1" allowOverlap="1" wp14:anchorId="4CC25A3E" wp14:editId="4F2D3A46">
            <wp:simplePos x="0" y="0"/>
            <wp:positionH relativeFrom="column">
              <wp:posOffset>192405</wp:posOffset>
            </wp:positionH>
            <wp:positionV relativeFrom="paragraph">
              <wp:posOffset>266700</wp:posOffset>
            </wp:positionV>
            <wp:extent cx="5417185" cy="4145280"/>
            <wp:effectExtent l="0" t="0" r="0" b="762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4c_wf_tabla.png"/>
                    <pic:cNvPicPr/>
                  </pic:nvPicPr>
                  <pic:blipFill>
                    <a:blip r:embed="rId25"/>
                    <a:stretch>
                      <a:fillRect/>
                    </a:stretch>
                  </pic:blipFill>
                  <pic:spPr>
                    <a:xfrm>
                      <a:off x="0" y="0"/>
                      <a:ext cx="5417185" cy="4145280"/>
                    </a:xfrm>
                    <a:prstGeom prst="rect">
                      <a:avLst/>
                    </a:prstGeom>
                  </pic:spPr>
                </pic:pic>
              </a:graphicData>
            </a:graphic>
            <wp14:sizeRelH relativeFrom="margin">
              <wp14:pctWidth>0</wp14:pctWidth>
            </wp14:sizeRelH>
            <wp14:sizeRelV relativeFrom="margin">
              <wp14:pctHeight>0</wp14:pctHeight>
            </wp14:sizeRelV>
          </wp:anchor>
        </w:drawing>
      </w:r>
    </w:p>
    <w:p w14:paraId="2CB74B41" w14:textId="77777777" w:rsidR="00161FE3" w:rsidRDefault="00000000">
      <w:pPr>
        <w:keepLines/>
        <w:spacing w:before="80" w:after="280"/>
        <w:jc w:val="center"/>
      </w:pPr>
      <w:r>
        <w:rPr>
          <w:b/>
        </w:rPr>
        <w:t>Figura 7.4c. Métricas detalladas (train y test) de la validación progresiva por fold y conjunto de datos.</w:t>
      </w:r>
    </w:p>
    <w:p w14:paraId="0ECEBBB5" w14:textId="72CF366F" w:rsidR="00161FE3" w:rsidRDefault="00000000">
      <w:pPr>
        <w:keepNext/>
        <w:spacing w:before="280" w:after="80"/>
        <w:jc w:val="center"/>
      </w:pPr>
      <w:r>
        <w:lastRenderedPageBreak/>
        <w:drawing>
          <wp:anchor distT="0" distB="0" distL="114300" distR="114300" simplePos="0" relativeHeight="251658255" behindDoc="0" locked="0" layoutInCell="1" allowOverlap="1" wp14:anchorId="2603975E" wp14:editId="41AAD55C">
            <wp:simplePos x="0" y="0"/>
            <wp:positionH relativeFrom="column">
              <wp:posOffset>900430</wp:posOffset>
            </wp:positionH>
            <wp:positionV relativeFrom="paragraph">
              <wp:posOffset>334645</wp:posOffset>
            </wp:positionV>
            <wp:extent cx="4381500" cy="263779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5a_reg_auc.png"/>
                    <pic:cNvPicPr/>
                  </pic:nvPicPr>
                  <pic:blipFill>
                    <a:blip r:embed="rId26"/>
                    <a:stretch>
                      <a:fillRect/>
                    </a:stretch>
                  </pic:blipFill>
                  <pic:spPr>
                    <a:xfrm>
                      <a:off x="0" y="0"/>
                      <a:ext cx="4381500" cy="2637790"/>
                    </a:xfrm>
                    <a:prstGeom prst="rect">
                      <a:avLst/>
                    </a:prstGeom>
                  </pic:spPr>
                </pic:pic>
              </a:graphicData>
            </a:graphic>
            <wp14:sizeRelH relativeFrom="margin">
              <wp14:pctWidth>0</wp14:pctWidth>
            </wp14:sizeRelH>
            <wp14:sizeRelV relativeFrom="margin">
              <wp14:pctHeight>0</wp14:pctHeight>
            </wp14:sizeRelV>
          </wp:anchor>
        </w:drawing>
      </w:r>
    </w:p>
    <w:p w14:paraId="2C03BFFC" w14:textId="2BA897C0" w:rsidR="00161FE3" w:rsidRDefault="00000000">
      <w:pPr>
        <w:keepLines/>
        <w:spacing w:before="80" w:after="280"/>
        <w:jc w:val="center"/>
      </w:pPr>
      <w:r>
        <w:rPr>
          <w:b/>
        </w:rPr>
        <w:t>Figura 7.5a. Sensibilidad de M2 y M2-SPNSP30 a la fuerza de regularización de LightGBM: AUC de test para distintas configuraciones de hiperparámetros.</w:t>
      </w:r>
    </w:p>
    <w:p w14:paraId="26E8E6FD" w14:textId="7DD26A40" w:rsidR="00161FE3" w:rsidRDefault="00C06216">
      <w:pPr>
        <w:keepNext/>
        <w:spacing w:before="280" w:after="80"/>
        <w:jc w:val="center"/>
      </w:pPr>
      <w:r>
        <w:drawing>
          <wp:anchor distT="0" distB="0" distL="114300" distR="114300" simplePos="0" relativeHeight="251658256" behindDoc="0" locked="0" layoutInCell="1" allowOverlap="1" wp14:anchorId="19F63247" wp14:editId="247BDF00">
            <wp:simplePos x="0" y="0"/>
            <wp:positionH relativeFrom="column">
              <wp:posOffset>739775</wp:posOffset>
            </wp:positionH>
            <wp:positionV relativeFrom="paragraph">
              <wp:posOffset>420370</wp:posOffset>
            </wp:positionV>
            <wp:extent cx="4540885" cy="268986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5b_reg_gap.png"/>
                    <pic:cNvPicPr/>
                  </pic:nvPicPr>
                  <pic:blipFill>
                    <a:blip r:embed="rId27"/>
                    <a:stretch>
                      <a:fillRect/>
                    </a:stretch>
                  </pic:blipFill>
                  <pic:spPr>
                    <a:xfrm>
                      <a:off x="0" y="0"/>
                      <a:ext cx="4540885" cy="2689860"/>
                    </a:xfrm>
                    <a:prstGeom prst="rect">
                      <a:avLst/>
                    </a:prstGeom>
                  </pic:spPr>
                </pic:pic>
              </a:graphicData>
            </a:graphic>
            <wp14:sizeRelH relativeFrom="margin">
              <wp14:pctWidth>0</wp14:pctWidth>
            </wp14:sizeRelH>
            <wp14:sizeRelV relativeFrom="margin">
              <wp14:pctHeight>0</wp14:pctHeight>
            </wp14:sizeRelV>
          </wp:anchor>
        </w:drawing>
      </w:r>
    </w:p>
    <w:p w14:paraId="4FF2337A" w14:textId="45A2BF71" w:rsidR="00161FE3" w:rsidRDefault="00000000">
      <w:pPr>
        <w:keepLines/>
        <w:spacing w:before="80" w:after="280"/>
        <w:jc w:val="center"/>
      </w:pPr>
      <w:r>
        <w:rPr>
          <w:b/>
        </w:rPr>
        <w:t>Figura 7.5b. Sensibilidad de M2 y M2-SPNSP30 a la fuerza de regularización de LightGBM: diferencia train-test (gap de sobreajuste) para las mismas configuraciones. La configuración final, más regularizada, mejora el AUC de test y reduce el gap a la vez respecto a la configuración base, un resultado poco intuitivo que solo se confirmó probándolo.</w:t>
      </w:r>
    </w:p>
    <w:p w14:paraId="19ADB8AC" w14:textId="77777777" w:rsidR="00AE4C5F" w:rsidRPr="00FF276E" w:rsidRDefault="00E35FF3">
      <w:pPr>
        <w:pStyle w:val="Ttulo3"/>
        <w:rPr>
          <w:color w:val="4F81BD"/>
        </w:rPr>
      </w:pPr>
      <w:bookmarkStart w:id="77" w:name="_Toc234787633"/>
      <w:bookmarkStart w:id="78" w:name="_Toc238464661"/>
      <w:r w:rsidRPr="00FF276E">
        <w:rPr>
          <w:color w:val="4F81BD"/>
        </w:rPr>
        <w:lastRenderedPageBreak/>
        <w:t>7.2.3. Análisis SHAP de importancia de características</w:t>
      </w:r>
      <w:bookmarkEnd w:id="77"/>
      <w:bookmarkEnd w:id="78"/>
    </w:p>
    <w:p w14:paraId="389260CC" w14:textId="77777777" w:rsidR="00AE4C5F" w:rsidRPr="00FF276E" w:rsidRDefault="00E35FF3">
      <w:pPr>
        <w:jc w:val="both"/>
      </w:pPr>
      <w:r w:rsidRPr="00FF276E">
        <w:t xml:space="preserve">El análisis SHAP (SHapley Additive exPlanations) </w:t>
      </w:r>
      <w:hyperlink w:anchor="ref44" w:history="1">
        <w:r>
          <w:rPr>
            <w:rStyle w:val="Hipervnculo"/>
          </w:rPr>
          <w:t>[44]</w:t>
        </w:r>
      </w:hyperlink>
      <w:r w:rsidRPr="00FF276E">
        <w:t xml:space="preserve"> descompone la predicción de cada ejemplo en contribuciones aditivas de cada </w:t>
      </w:r>
      <w:r w:rsidRPr="006825B8">
        <w:t>característica</w:t>
      </w:r>
      <w:r w:rsidRPr="00FF276E">
        <w:t xml:space="preserve">, garantizando que la suma de las contribuciones individuales sea igual a la predicción total (propiedad de eficiencia). Los valores |SHAP| medios representan la importancia global de cada </w:t>
      </w:r>
      <w:r w:rsidRPr="006825B8">
        <w:t>característica</w:t>
      </w:r>
      <w:r w:rsidRPr="00FF276E">
        <w:t xml:space="preserve">, mientras que los dependence plots muestran cómo la contribución de una </w:t>
      </w:r>
      <w:r w:rsidRPr="006825B8">
        <w:t>característica</w:t>
      </w:r>
      <w:r w:rsidRPr="00FF276E">
        <w:t xml:space="preserve"> varía con su valor y con </w:t>
      </w:r>
      <w:r w:rsidRPr="006825B8">
        <w:t>características</w:t>
      </w:r>
      <w:r w:rsidRPr="00FF276E">
        <w:t xml:space="preserve"> de interacción.</w:t>
      </w:r>
    </w:p>
    <w:p w14:paraId="6298426E" w14:textId="77777777" w:rsidR="00AE4C5F" w:rsidRPr="00FF276E" w:rsidRDefault="002D704F">
      <w:pPr>
        <w:jc w:val="both"/>
      </w:pPr>
      <w:r w:rsidRPr="00FF276E">
        <w:rPr>
          <w:rFonts w:cs="Calibri"/>
        </w:rPr>
        <w:t xml:space="preserve">El top-5 de </w:t>
      </w:r>
      <w:r w:rsidRPr="006825B8">
        <w:rPr>
          <w:rFonts w:cs="Calibri"/>
        </w:rPr>
        <w:t>características</w:t>
      </w:r>
      <w:r w:rsidRPr="00FF276E">
        <w:rPr>
          <w:rFonts w:cs="Calibri"/>
        </w:rPr>
        <w:t xml:space="preserve"> por </w:t>
      </w:r>
      <w:r w:rsidRPr="006825B8">
        <w:rPr>
          <w:rFonts w:cs="Calibri"/>
        </w:rPr>
        <w:t>conjunto de datos</w:t>
      </w:r>
      <w:r w:rsidRPr="00FF276E">
        <w:rPr>
          <w:rFonts w:cs="Calibri"/>
        </w:rPr>
        <w:t xml:space="preserve"> según importancia SHAP media se resume en la </w:t>
      </w:r>
      <w:r w:rsidR="002D022C" w:rsidRPr="00FF276E">
        <w:rPr>
          <w:rFonts w:cs="Calibri"/>
        </w:rPr>
        <w:t>Figura 7.6</w:t>
      </w:r>
      <w:r w:rsidRPr="00FF276E">
        <w:rPr>
          <w:rFonts w:cs="Calibri"/>
        </w:rPr>
        <w:t>.</w:t>
      </w:r>
    </w:p>
    <w:p w14:paraId="06396B61" w14:textId="6F4357B3" w:rsidR="00AE4C5F" w:rsidRPr="00FF276E" w:rsidRDefault="00AE4C5F">
      <w:pPr>
        <w:jc w:val="both"/>
      </w:pPr>
    </w:p>
    <w:p w14:paraId="63D90D8D" w14:textId="05886A43" w:rsidR="00161FE3" w:rsidRDefault="00C06216">
      <w:pPr>
        <w:keepNext/>
        <w:spacing w:before="280" w:after="80"/>
        <w:jc w:val="center"/>
      </w:pPr>
      <w:r>
        <w:drawing>
          <wp:anchor distT="0" distB="0" distL="114300" distR="114300" simplePos="0" relativeHeight="251658257" behindDoc="0" locked="0" layoutInCell="1" allowOverlap="1" wp14:anchorId="5DBB79D7" wp14:editId="1FC577C6">
            <wp:simplePos x="0" y="0"/>
            <wp:positionH relativeFrom="column">
              <wp:posOffset>497205</wp:posOffset>
            </wp:positionH>
            <wp:positionV relativeFrom="paragraph">
              <wp:posOffset>334645</wp:posOffset>
            </wp:positionV>
            <wp:extent cx="4663440" cy="3477260"/>
            <wp:effectExtent l="0" t="0" r="3810" b="889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6a_shap_m2.png"/>
                    <pic:cNvPicPr/>
                  </pic:nvPicPr>
                  <pic:blipFill>
                    <a:blip r:embed="rId28"/>
                    <a:stretch>
                      <a:fillRect/>
                    </a:stretch>
                  </pic:blipFill>
                  <pic:spPr>
                    <a:xfrm>
                      <a:off x="0" y="0"/>
                      <a:ext cx="4663440" cy="3477260"/>
                    </a:xfrm>
                    <a:prstGeom prst="rect">
                      <a:avLst/>
                    </a:prstGeom>
                  </pic:spPr>
                </pic:pic>
              </a:graphicData>
            </a:graphic>
            <wp14:sizeRelH relativeFrom="margin">
              <wp14:pctWidth>0</wp14:pctWidth>
            </wp14:sizeRelH>
            <wp14:sizeRelV relativeFrom="margin">
              <wp14:pctHeight>0</wp14:pctHeight>
            </wp14:sizeRelV>
          </wp:anchor>
        </w:drawing>
      </w:r>
    </w:p>
    <w:p w14:paraId="18E9C599" w14:textId="77777777" w:rsidR="00161FE3" w:rsidRDefault="00000000">
      <w:pPr>
        <w:keepLines/>
        <w:spacing w:before="80" w:after="280"/>
        <w:jc w:val="center"/>
      </w:pPr>
      <w:r>
        <w:rPr>
          <w:b/>
        </w:rPr>
        <w:t>Figura 7.6a. Importancia SHAP media (|SHAP|) en M2 (familias Pango, características temporales + biológicas): mide cuánto desplaza cada característica la predicción del modelo respecto a la media.</w:t>
      </w:r>
    </w:p>
    <w:p w14:paraId="5B4E3D39" w14:textId="1363E354" w:rsidR="00161FE3" w:rsidRDefault="00000000">
      <w:pPr>
        <w:keepNext/>
        <w:spacing w:before="280" w:after="80"/>
        <w:jc w:val="center"/>
      </w:pPr>
      <w:r>
        <w:lastRenderedPageBreak/>
        <w:drawing>
          <wp:anchor distT="0" distB="0" distL="114300" distR="114300" simplePos="0" relativeHeight="251658258" behindDoc="0" locked="0" layoutInCell="1" allowOverlap="1" wp14:anchorId="73387C99" wp14:editId="0FF9945A">
            <wp:simplePos x="0" y="0"/>
            <wp:positionH relativeFrom="column">
              <wp:posOffset>908685</wp:posOffset>
            </wp:positionH>
            <wp:positionV relativeFrom="paragraph">
              <wp:posOffset>280670</wp:posOffset>
            </wp:positionV>
            <wp:extent cx="4251960" cy="317055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6b_shap_m2spnsp30.png"/>
                    <pic:cNvPicPr/>
                  </pic:nvPicPr>
                  <pic:blipFill>
                    <a:blip r:embed="rId29"/>
                    <a:stretch>
                      <a:fillRect/>
                    </a:stretch>
                  </pic:blipFill>
                  <pic:spPr>
                    <a:xfrm>
                      <a:off x="0" y="0"/>
                      <a:ext cx="4251960" cy="3170555"/>
                    </a:xfrm>
                    <a:prstGeom prst="rect">
                      <a:avLst/>
                    </a:prstGeom>
                  </pic:spPr>
                </pic:pic>
              </a:graphicData>
            </a:graphic>
            <wp14:sizeRelH relativeFrom="margin">
              <wp14:pctWidth>0</wp14:pctWidth>
            </wp14:sizeRelH>
            <wp14:sizeRelV relativeFrom="margin">
              <wp14:pctHeight>0</wp14:pctHeight>
            </wp14:sizeRelV>
          </wp:anchor>
        </w:drawing>
      </w:r>
    </w:p>
    <w:p w14:paraId="638F87DA" w14:textId="07C0E466" w:rsidR="00161FE3" w:rsidRDefault="00000000">
      <w:pPr>
        <w:keepLines/>
        <w:spacing w:before="80" w:after="280"/>
        <w:jc w:val="center"/>
      </w:pPr>
      <w:r>
        <w:rPr>
          <w:b/>
        </w:rPr>
        <w:t>Figura 7.6b. Importancia SHAP media (|SHAP|) en M2-SPNSP30 (familias Pango + 30 mutaciones Spike/NSP12 más informativas).</w:t>
      </w:r>
    </w:p>
    <w:p w14:paraId="145B8F5D" w14:textId="0E06CDD6" w:rsidR="00161FE3" w:rsidRDefault="0072479D">
      <w:pPr>
        <w:keepNext/>
        <w:spacing w:before="280" w:after="80"/>
        <w:jc w:val="center"/>
      </w:pPr>
      <w:r>
        <w:drawing>
          <wp:anchor distT="0" distB="0" distL="114300" distR="114300" simplePos="0" relativeHeight="251658259" behindDoc="0" locked="0" layoutInCell="1" allowOverlap="1" wp14:anchorId="7C5F5959" wp14:editId="493C2E74">
            <wp:simplePos x="0" y="0"/>
            <wp:positionH relativeFrom="column">
              <wp:posOffset>962025</wp:posOffset>
            </wp:positionH>
            <wp:positionV relativeFrom="paragraph">
              <wp:posOffset>292100</wp:posOffset>
            </wp:positionV>
            <wp:extent cx="4152900" cy="3096895"/>
            <wp:effectExtent l="0" t="0" r="0" b="825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6c_shap_m3spnsp.png"/>
                    <pic:cNvPicPr/>
                  </pic:nvPicPr>
                  <pic:blipFill>
                    <a:blip r:embed="rId30"/>
                    <a:stretch>
                      <a:fillRect/>
                    </a:stretch>
                  </pic:blipFill>
                  <pic:spPr>
                    <a:xfrm>
                      <a:off x="0" y="0"/>
                      <a:ext cx="4152900" cy="3096895"/>
                    </a:xfrm>
                    <a:prstGeom prst="rect">
                      <a:avLst/>
                    </a:prstGeom>
                  </pic:spPr>
                </pic:pic>
              </a:graphicData>
            </a:graphic>
            <wp14:sizeRelH relativeFrom="margin">
              <wp14:pctWidth>0</wp14:pctWidth>
            </wp14:sizeRelH>
            <wp14:sizeRelV relativeFrom="margin">
              <wp14:pctHeight>0</wp14:pctHeight>
            </wp14:sizeRelV>
          </wp:anchor>
        </w:drawing>
      </w:r>
    </w:p>
    <w:p w14:paraId="17979C1C" w14:textId="77777777" w:rsidR="00161FE3" w:rsidRDefault="00000000">
      <w:pPr>
        <w:keepLines/>
        <w:spacing w:before="80" w:after="280"/>
        <w:jc w:val="center"/>
      </w:pPr>
      <w:r>
        <w:rPr>
          <w:b/>
        </w:rPr>
        <w:t>Figura 7.6c. Importancia SHAP media (|SHAP|) en M3-SPNSP (mutaciones individuales de Spike y NSP12), el modelo principal del sistema.</w:t>
      </w:r>
    </w:p>
    <w:p w14:paraId="2E4C8FED" w14:textId="77777777" w:rsidR="00161FE3" w:rsidRDefault="00000000">
      <w:pPr>
        <w:keepNext/>
        <w:spacing w:before="280" w:after="80"/>
        <w:jc w:val="center"/>
      </w:pPr>
      <w:r>
        <w:lastRenderedPageBreak/>
        <w:drawing>
          <wp:anchor distT="0" distB="0" distL="114300" distR="114300" simplePos="0" relativeHeight="251658260" behindDoc="0" locked="0" layoutInCell="1" allowOverlap="1" wp14:anchorId="4E36A208" wp14:editId="1B33FE14">
            <wp:simplePos x="0" y="0"/>
            <wp:positionH relativeFrom="column">
              <wp:posOffset>710565</wp:posOffset>
            </wp:positionH>
            <wp:positionV relativeFrom="paragraph">
              <wp:posOffset>288925</wp:posOffset>
            </wp:positionV>
            <wp:extent cx="4791710" cy="3573780"/>
            <wp:effectExtent l="0" t="0" r="8890" b="762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6d_shap_m3all.png"/>
                    <pic:cNvPicPr/>
                  </pic:nvPicPr>
                  <pic:blipFill>
                    <a:blip r:embed="rId31"/>
                    <a:stretch>
                      <a:fillRect/>
                    </a:stretch>
                  </pic:blipFill>
                  <pic:spPr>
                    <a:xfrm>
                      <a:off x="0" y="0"/>
                      <a:ext cx="4791710" cy="3573780"/>
                    </a:xfrm>
                    <a:prstGeom prst="rect">
                      <a:avLst/>
                    </a:prstGeom>
                  </pic:spPr>
                </pic:pic>
              </a:graphicData>
            </a:graphic>
            <wp14:sizeRelH relativeFrom="margin">
              <wp14:pctWidth>0</wp14:pctWidth>
            </wp14:sizeRelH>
            <wp14:sizeRelV relativeFrom="margin">
              <wp14:pctHeight>0</wp14:pctHeight>
            </wp14:sizeRelV>
          </wp:anchor>
        </w:drawing>
      </w:r>
    </w:p>
    <w:p w14:paraId="4A3A41F3" w14:textId="77777777" w:rsidR="00161FE3" w:rsidRDefault="00000000">
      <w:pPr>
        <w:keepLines/>
        <w:spacing w:before="80" w:after="280"/>
        <w:jc w:val="center"/>
      </w:pPr>
      <w:r>
        <w:rPr>
          <w:b/>
        </w:rPr>
        <w:t>Figura 7.6d. Importancia SHAP media (|SHAP|) en M3-ALL (todas las mutaciones del genoma con señal real). La característica dominante cambia con la granularidad: la frecuencia histórica en M1, el escape inmune en M2 y la convergencia evolutiva reciente en los modelos de mutación individual (M3).</w:t>
      </w:r>
    </w:p>
    <w:p>
      <w:pPr>
        <w:keepNext/>
        <w:spacing w:before="280" w:after="80"/>
        <w:jc w:val="center"/>
      </w:pPr>
      <w:r>
        <w:drawing>
          <wp:anchor distT="0" distB="0" distL="0" distR="0" simplePos="0" relativeHeight="251658300" behindDoc="0" locked="0" layoutInCell="1" allowOverlap="1" wp14:anchorId="0F00003C" wp14:editId="0F00003D">
            <wp:simplePos x="0" y="0"/>
            <wp:positionH relativeFrom="column">
              <wp:align>center</wp:align>
            </wp:positionH>
            <wp:positionV relativeFrom="paragraph">
              <wp:posOffset>0</wp:posOffset>
            </wp:positionV>
            <wp:extent cx="4572000" cy="3409627"/>
            <wp:wrapTopAndBottom/>
            <wp:docPr id="49" name="Picture 4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7_6e_shap_m1.png"/>
                    <pic:cNvPicPr/>
                  </pic:nvPicPr>
                  <pic:blipFill>
                    <a:blip r:embed="rId98"/>
                    <a:stretch>
                      <a:fillRect/>
                    </a:stretch>
                  </pic:blipFill>
                  <pic:spPr>
                    <a:xfrm>
                      <a:off x="0" y="0"/>
                      <a:ext cx="4572000" cy="3409627"/>
                    </a:xfrm>
                    <a:prstGeom prst="rect"/>
                  </pic:spPr>
                </pic:pic>
              </a:graphicData>
            </a:graphic>
          </wp:anchor>
        </w:drawing>
      </w:r>
    </w:p>
    <w:p>
      <w:pPr>
        <w:keepLines/>
        <w:spacing w:before="80" w:after="280"/>
        <w:jc w:val="center"/>
      </w:pPr>
      <w:r>
        <w:rPr>
          <w:b/>
        </w:rPr>
        <w:t>Figura 7.6e. Importancia SHAP media (|SHAP|) en M1 (clados Nextclade en fase pre-emergencia). Se incluye con una nota de aviso: entrenado con muy pocas iteraciones (63) frente a los cuatro conjuntos de datos principales, por lo que su importancia SHAP debe interpretarse con cautela.</w:t>
      </w:r>
    </w:p>
    <w:p>
      <w:pPr>
        <w:keepNext/>
        <w:spacing w:before="280" w:after="80"/>
        <w:jc w:val="center"/>
      </w:pPr>
      <w:r>
        <w:drawing>
          <wp:anchor distT="0" distB="0" distL="0" distR="0" simplePos="0" relativeHeight="251658302" behindDoc="0" locked="0" layoutInCell="1" allowOverlap="1" wp14:anchorId="0F00003E" wp14:editId="0F00003F">
            <wp:simplePos x="0" y="0"/>
            <wp:positionH relativeFrom="column">
              <wp:align>center</wp:align>
            </wp:positionH>
            <wp:positionV relativeFrom="paragraph">
              <wp:posOffset>0</wp:posOffset>
            </wp:positionV>
            <wp:extent cx="4572000" cy="3409627"/>
            <wp:wrapTopAndBottom/>
            <wp:docPr id="50" name="Picture 5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7_6f_shap_m1bio.png"/>
                    <pic:cNvPicPr/>
                  </pic:nvPicPr>
                  <pic:blipFill>
                    <a:blip r:embed="rId99"/>
                    <a:stretch>
                      <a:fillRect/>
                    </a:stretch>
                  </pic:blipFill>
                  <pic:spPr>
                    <a:xfrm>
                      <a:off x="0" y="0"/>
                      <a:ext cx="4572000" cy="3409627"/>
                    </a:xfrm>
                    <a:prstGeom prst="rect"/>
                  </pic:spPr>
                </pic:pic>
              </a:graphicData>
            </a:graphic>
          </wp:anchor>
        </w:drawing>
      </w:r>
    </w:p>
    <w:p>
      <w:pPr>
        <w:keepLines/>
        <w:spacing w:before="80" w:after="280"/>
        <w:jc w:val="center"/>
      </w:pPr>
      <w:r>
        <w:rPr>
          <w:b/>
        </w:rPr>
        <w:t>Figura 7.6f. Importancia SHAP media (|SHAP|) en M1-BIO (M1 + perfil biológico). Misma salvedad que la Figura 7.6e: solo 4 iteraciones de entrenamiento.</w:t>
      </w:r>
    </w:p>
    <w:p>
      <w:pPr>
        <w:keepNext/>
        <w:spacing w:before="280" w:after="80"/>
        <w:jc w:val="center"/>
      </w:pPr>
      <w:r>
        <w:drawing>
          <wp:anchor distT="0" distB="0" distL="0" distR="0" simplePos="0" relativeHeight="251658304" behindDoc="0" locked="0" layoutInCell="1" allowOverlap="1" wp14:anchorId="0F000040" wp14:editId="0F000041">
            <wp:simplePos x="0" y="0"/>
            <wp:positionH relativeFrom="column">
              <wp:align>center</wp:align>
            </wp:positionH>
            <wp:positionV relativeFrom="paragraph">
              <wp:posOffset>0</wp:posOffset>
            </wp:positionV>
            <wp:extent cx="4572000" cy="3407317"/>
            <wp:wrapTopAndBottom/>
            <wp:docPr id="51" name="Picture 5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7_6g_shap_m1spnsp.png"/>
                    <pic:cNvPicPr/>
                  </pic:nvPicPr>
                  <pic:blipFill>
                    <a:blip r:embed="rId100"/>
                    <a:stretch>
                      <a:fillRect/>
                    </a:stretch>
                  </pic:blipFill>
                  <pic:spPr>
                    <a:xfrm>
                      <a:off x="0" y="0"/>
                      <a:ext cx="4572000" cy="3407317"/>
                    </a:xfrm>
                    <a:prstGeom prst="rect"/>
                  </pic:spPr>
                </pic:pic>
              </a:graphicData>
            </a:graphic>
          </wp:anchor>
        </w:drawing>
      </w:r>
    </w:p>
    <w:p>
      <w:pPr>
        <w:keepLines/>
        <w:spacing w:before="80" w:after="280"/>
        <w:jc w:val="center"/>
      </w:pPr>
      <w:r>
        <w:rPr>
          <w:b/>
        </w:rPr>
        <w:t>Figura 7.6g. Importancia SHAP media (|SHAP|) en M1-SPNSP (M1 + mutaciones Spike/NSP12). Misma salvedad: solo 3 iteraciones de entrenamiento, la muestra más pequeña de las siete.</w:t>
      </w:r>
    </w:p>
    <w:p w14:paraId="3800F2BA" w14:textId="77777777" w:rsidR="00AE4C5F" w:rsidRPr="00FF276E" w:rsidRDefault="00E35FF3">
      <w:pPr>
        <w:jc w:val="both"/>
      </w:pPr>
      <w:r w:rsidRPr="00FF276E">
        <w:t xml:space="preserve">Hallazgo 1: peak_hist domina M1. En el modelo de clados Nextclade, la frecuencia máxima histórica del clado supera en 8.6x a la segunda </w:t>
      </w:r>
      <w:r w:rsidRPr="006825B8">
        <w:t>característica</w:t>
      </w:r>
      <w:r w:rsidRPr="00FF276E">
        <w:t xml:space="preserve"> (|SHAP|=2.599 vs. 0.302; Figura 7.6e), reflejo del patrón de sucesión pandémica: los clados que ya dominaron antes tienden a recuperar frecuencia cuando sus sub-linajes emergen. M1, M1-BIO y M1-SPNSP (Figuras 7.6e-g) se muestran aparte del panel comparativo principal porque se entrenan con muchas menos iteraciones (3-63 frente a decenas, Tabla 7.1): sus valores SHAP son indicativos, no tan sólidos estadísticamente como los de M2/M2-SPNSP30/M3-SPNSP/M3-ALL.</w:t>
      </w:r>
    </w:p>
    <w:p w14:paraId="176C8F2E" w14:textId="77777777" w:rsidR="00AE4C5F" w:rsidRPr="00FF276E" w:rsidRDefault="00E35FF3">
      <w:pPr>
        <w:jc w:val="both"/>
      </w:pPr>
      <w:r w:rsidRPr="00FF276E">
        <w:t xml:space="preserve">Hallazgo 2: El perfil de escape inmune lidera M2. n_escape_muts (0.642) es la </w:t>
      </w:r>
      <w:r w:rsidRPr="006825B8">
        <w:t>característica</w:t>
      </w:r>
      <w:r w:rsidRPr="00FF276E">
        <w:t xml:space="preserve"> de mayor peso en M2, por delante de age_weeks (0.541) y mean_spike_muts (0.436). El patrón se repite en M2-SPNSP30 (n_escape_muts=0.755, age_weeks=0.579). Que el número de mutaciones en epítopos conocidos de anticuerpos supere a la antigüedad de la variante confirma que el modelo combina señal biológica y temporal, no solo persistencia histórica del clado.</w:t>
      </w:r>
    </w:p>
    <w:p w14:paraId="3ABDA7BC" w14:textId="33981A97" w:rsidR="00AE4C5F" w:rsidRPr="00FF276E" w:rsidRDefault="00E35FF3">
      <w:pPr>
        <w:jc w:val="both"/>
      </w:pPr>
      <w:r w:rsidRPr="00FF276E">
        <w:t xml:space="preserve">Hallazgo 3: La convergencia evolutiva reciente lidera M3. n_families_recent (convergencia acotada a una ventana causal de 12 semanas, 6.4) es la </w:t>
      </w:r>
      <w:r w:rsidRPr="006825B8">
        <w:t>característica</w:t>
      </w:r>
      <w:r w:rsidRPr="00FF276E">
        <w:t xml:space="preserve"> de mayor peso tanto en M3-SPNSP (|SHAP|=0.759) como en M3-ALL (0.778), muy por delante de la segunda </w:t>
      </w:r>
      <w:r w:rsidRPr="006825B8">
        <w:t>característica</w:t>
      </w:r>
      <w:r w:rsidRPr="00FF276E">
        <w:t xml:space="preserve"> en cada </w:t>
      </w:r>
      <w:r w:rsidRPr="006825B8">
        <w:t>conjunto de datos</w:t>
      </w:r>
      <w:r w:rsidRPr="00FF276E">
        <w:t xml:space="preserve"> (position=0.352 en SPNSP, is_spike=0.294 en ALL). Esto implementa cuantitativamente el principio de evolución convergente, con un matiz importante respecto a una </w:t>
      </w:r>
      <w:r w:rsidRPr="00FF276E">
        <w:lastRenderedPageBreak/>
        <w:t>versión anterior de este análisis: acotar la convergencia a una ventana reciente (en vez de acumularla sin límite desde la primera detección) es más informativo, porque distingue una mutación que está ganando familias independientes ahora mismo de una que las acumuló hace años y ya se ha estabilizado.</w:t>
      </w:r>
    </w:p>
    <w:p w14:paraId="18D8B0D7" w14:textId="768F1987" w:rsidR="00AE4C5F" w:rsidRPr="00FF276E" w:rsidRDefault="00E35FF3">
      <w:pPr>
        <w:jc w:val="both"/>
      </w:pPr>
      <w:r w:rsidRPr="00FF276E">
        <w:t xml:space="preserve">Hallazgo 4: cuando el modelo incluye todas las mutaciones del genoma (no solo Spike y NSP12), la segunda </w:t>
      </w:r>
      <w:r w:rsidRPr="006825B8">
        <w:t>característica</w:t>
      </w:r>
      <w:r w:rsidRPr="00FF276E">
        <w:t xml:space="preserve"> más discriminativa, tras n_families_recent, es si la mutación pertenece o no a la proteína Spike (|SHAP|=0.294). Añadir mutaciones de otras regiones diluye la señal individual, pero el modelo compensa aprendiendo que el gen Spike es clave para predecir dominancia futura. Este resultado valida la estrategia de M3-SPNSP de centrarse en Spike y NSP12 (</w:t>
      </w:r>
      <w:r w:rsidR="002D022C" w:rsidRPr="00FF276E">
        <w:t>Figura 7.7</w:t>
      </w:r>
      <w:r w:rsidRPr="00FF276E">
        <w:t>).</w:t>
      </w:r>
    </w:p>
    <w:p w14:paraId="4C04DDE7" w14:textId="6AD35171" w:rsidR="00237D4B" w:rsidRPr="00FF276E" w:rsidRDefault="0072479D">
      <w:pPr>
        <w:keepNext/>
        <w:spacing w:before="280" w:after="80"/>
        <w:jc w:val="center"/>
      </w:pPr>
      <w:r w:rsidRPr="00FF276E">
        <w:drawing>
          <wp:anchor distT="0" distB="0" distL="0" distR="0" simplePos="0" relativeHeight="251658261" behindDoc="0" locked="0" layoutInCell="1" allowOverlap="1" wp14:anchorId="7F4C505F" wp14:editId="05BD0AC8">
            <wp:simplePos x="0" y="0"/>
            <wp:positionH relativeFrom="column">
              <wp:posOffset>267335</wp:posOffset>
            </wp:positionH>
            <wp:positionV relativeFrom="paragraph">
              <wp:posOffset>466725</wp:posOffset>
            </wp:positionV>
            <wp:extent cx="5486400" cy="4048616"/>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b_shap_beeswarm_m3spnsp.png"/>
                    <pic:cNvPicPr/>
                  </pic:nvPicPr>
                  <pic:blipFill>
                    <a:blip r:embed="rId32"/>
                    <a:stretch>
                      <a:fillRect/>
                    </a:stretch>
                  </pic:blipFill>
                  <pic:spPr>
                    <a:xfrm>
                      <a:off x="0" y="0"/>
                      <a:ext cx="5486400" cy="4048616"/>
                    </a:xfrm>
                    <a:prstGeom prst="rect">
                      <a:avLst/>
                    </a:prstGeom>
                  </pic:spPr>
                </pic:pic>
              </a:graphicData>
            </a:graphic>
          </wp:anchor>
        </w:drawing>
      </w:r>
    </w:p>
    <w:p w14:paraId="71C1D0CA" w14:textId="77777777" w:rsidR="00237D4B" w:rsidRPr="00FF276E" w:rsidRDefault="002D022C">
      <w:pPr>
        <w:keepLines/>
        <w:spacing w:before="80" w:after="280"/>
        <w:jc w:val="center"/>
      </w:pPr>
      <w:r w:rsidRPr="00FF276E">
        <w:rPr>
          <w:b/>
        </w:rPr>
        <w:t>Figura 7.7. Gráfico de enjambre (beeswarm) de valores SHAP para M3-SPNSP: cada punto es una observación (mutación, semana), su posición horizontal indica si esa característica empujó la predicción hacia una mayor o menor probabilidad de dominancia, y el color indica si el valor de la característica en esa observación fue alto (rojo) o bajo (azul).</w:t>
      </w:r>
    </w:p>
    <w:p w14:paraId="3373C879" w14:textId="77777777" w:rsidR="00AE4C5F" w:rsidRPr="00FF276E" w:rsidRDefault="00E35FF3">
      <w:pPr>
        <w:pStyle w:val="Ttulo2"/>
        <w:rPr>
          <w:color w:val="2E74B5"/>
        </w:rPr>
      </w:pPr>
      <w:bookmarkStart w:id="79" w:name="_Toc234787634"/>
      <w:bookmarkStart w:id="80" w:name="_Toc238464662"/>
      <w:r w:rsidRPr="00FF276E">
        <w:rPr>
          <w:color w:val="2E74B5"/>
        </w:rPr>
        <w:lastRenderedPageBreak/>
        <w:t>7.3. Análisis de supervivencia Cox PH (Módulo 5)</w:t>
      </w:r>
      <w:bookmarkEnd w:id="79"/>
      <w:bookmarkEnd w:id="80"/>
    </w:p>
    <w:p w14:paraId="7BDEA3CB" w14:textId="77777777" w:rsidR="00AE4C5F" w:rsidRPr="00FF276E" w:rsidRDefault="00E35FF3">
      <w:pPr>
        <w:pStyle w:val="Ttulo3"/>
        <w:rPr>
          <w:color w:val="4F81BD"/>
        </w:rPr>
      </w:pPr>
      <w:bookmarkStart w:id="81" w:name="_Toc234787635"/>
      <w:bookmarkStart w:id="82" w:name="_Toc238464663"/>
      <w:r w:rsidRPr="00FF276E">
        <w:rPr>
          <w:color w:val="4F81BD"/>
        </w:rPr>
        <w:t>7.3.1. Kaplan-Meier: tiempo hasta dominancia de familias</w:t>
      </w:r>
      <w:bookmarkEnd w:id="81"/>
      <w:bookmarkEnd w:id="82"/>
    </w:p>
    <w:p w14:paraId="273E9AC8" w14:textId="77777777" w:rsidR="00AE4C5F" w:rsidRPr="00FF276E" w:rsidRDefault="00E35FF3">
      <w:pPr>
        <w:jc w:val="both"/>
      </w:pPr>
      <w:r w:rsidRPr="00FF276E">
        <w:t xml:space="preserve">El estimador Kaplan-Meier </w:t>
      </w:r>
      <w:hyperlink w:anchor="ref45" w:history="1">
        <w:r>
          <w:rPr>
            <w:rStyle w:val="Hipervnculo"/>
          </w:rPr>
          <w:t>[45]</w:t>
        </w:r>
      </w:hyperlink>
      <w:r w:rsidRPr="00FF276E">
        <w:t xml:space="preserve"> proporciona una estimación no paramétrica de la función de supervivencia S(t) = P(T &gt; t), donde T es el tiempo hasta que una familia alcanza el 10% de frecuencia global. El análisis se realiza sobre las 435 familias Pango con alguna detección global (freq_detect ≥ 0.1% al menos una semana).</w:t>
      </w:r>
    </w:p>
    <w:p w14:paraId="27C4C433" w14:textId="77777777" w:rsidR="00AE4C5F" w:rsidRPr="00FF276E" w:rsidRDefault="00E35FF3">
      <w:pPr>
        <w:jc w:val="both"/>
      </w:pPr>
      <w:r w:rsidRPr="00FF276E">
        <w:t xml:space="preserve">Los resultados del log-rank </w:t>
      </w:r>
      <w:r w:rsidRPr="002D0178">
        <w:rPr>
          <w:i/>
        </w:rPr>
        <w:t>test</w:t>
      </w:r>
      <w:r w:rsidRPr="00FF276E">
        <w:t xml:space="preserve"> para las variables dicotomizadas son (</w:t>
      </w:r>
      <w:r w:rsidR="00490580" w:rsidRPr="00FF276E">
        <w:t>Tabla 7.3</w:t>
      </w:r>
      <w:r w:rsidRPr="00FF276E">
        <w:t>):</w:t>
      </w:r>
    </w:p>
    <w:p w14:paraId="42A78E53" w14:textId="77777777" w:rsidR="00237D4B" w:rsidRPr="00FF276E" w:rsidRDefault="00490580">
      <w:pPr>
        <w:keepNext/>
        <w:spacing w:before="280" w:after="80"/>
        <w:jc w:val="center"/>
      </w:pPr>
      <w:r w:rsidRPr="00FF276E">
        <w:t>Tabla 7.3</w:t>
      </w:r>
      <w:r w:rsidR="00E35FF3" w:rsidRPr="00FF276E">
        <w:t>. Resultados del test log-rank de Kaplan-Meier para las variables dicotomizadas.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8"/>
        <w:gridCol w:w="2277"/>
        <w:gridCol w:w="2278"/>
      </w:tblGrid>
      <w:tr w:rsidR="00AE4C5F" w:rsidRPr="00FF276E" w14:paraId="4B596808" w14:textId="77777777">
        <w:trPr>
          <w:cantSplit/>
          <w:tblHeader/>
          <w:jc w:val="center"/>
        </w:trPr>
        <w:tc>
          <w:tcPr>
            <w:tcW w:w="2280" w:type="dxa"/>
            <w:shd w:val="clear" w:color="auto" w:fill="DCE6F1"/>
          </w:tcPr>
          <w:p w14:paraId="310BF007" w14:textId="77777777" w:rsidR="00237D4B" w:rsidRPr="00FF276E" w:rsidRDefault="00E35FF3">
            <w:r w:rsidRPr="00FF276E">
              <w:rPr>
                <w:b/>
              </w:rPr>
              <w:t>Variable</w:t>
            </w:r>
          </w:p>
        </w:tc>
        <w:tc>
          <w:tcPr>
            <w:tcW w:w="2280" w:type="dxa"/>
            <w:shd w:val="clear" w:color="auto" w:fill="DCE6F1"/>
          </w:tcPr>
          <w:p w14:paraId="32040945" w14:textId="77777777" w:rsidR="00237D4B" w:rsidRPr="00FF276E" w:rsidRDefault="00E35FF3">
            <w:r w:rsidRPr="00FF276E">
              <w:rPr>
                <w:b/>
              </w:rPr>
              <w:t>Grupos</w:t>
            </w:r>
          </w:p>
        </w:tc>
        <w:tc>
          <w:tcPr>
            <w:tcW w:w="2280" w:type="dxa"/>
            <w:shd w:val="clear" w:color="auto" w:fill="DCE6F1"/>
          </w:tcPr>
          <w:p w14:paraId="5FE475E7" w14:textId="77777777" w:rsidR="00237D4B" w:rsidRPr="00FF276E" w:rsidRDefault="00E35FF3">
            <w:r w:rsidRPr="00FF276E">
              <w:rPr>
                <w:b/>
              </w:rPr>
              <w:t>Log-rank p</w:t>
            </w:r>
          </w:p>
        </w:tc>
        <w:tc>
          <w:tcPr>
            <w:tcW w:w="2280" w:type="dxa"/>
            <w:shd w:val="clear" w:color="auto" w:fill="DCE6F1"/>
          </w:tcPr>
          <w:p w14:paraId="5A8C16F4" w14:textId="77777777" w:rsidR="00237D4B" w:rsidRPr="00FF276E" w:rsidRDefault="00E35FF3">
            <w:r w:rsidRPr="00FF276E">
              <w:rPr>
                <w:b/>
              </w:rPr>
              <w:t>Interpretación</w:t>
            </w:r>
          </w:p>
        </w:tc>
      </w:tr>
      <w:tr w:rsidR="00237D4B" w:rsidRPr="00FF276E" w14:paraId="54107183" w14:textId="77777777">
        <w:trPr>
          <w:cantSplit/>
          <w:jc w:val="center"/>
        </w:trPr>
        <w:tc>
          <w:tcPr>
            <w:tcW w:w="2280" w:type="dxa"/>
          </w:tcPr>
          <w:p w14:paraId="3FF8C922" w14:textId="77777777" w:rsidR="00237D4B" w:rsidRPr="00FF276E" w:rsidRDefault="00E35FF3">
            <w:r w:rsidRPr="00FF276E">
              <w:t>n_countries al detectarse</w:t>
            </w:r>
          </w:p>
        </w:tc>
        <w:tc>
          <w:tcPr>
            <w:tcW w:w="2280" w:type="dxa"/>
          </w:tcPr>
          <w:p w14:paraId="4648E91B" w14:textId="77777777" w:rsidR="00237D4B" w:rsidRPr="00FF276E" w:rsidRDefault="00E35FF3">
            <w:r w:rsidRPr="00FF276E">
              <w:t>Pocos / moderados / muchos países</w:t>
            </w:r>
          </w:p>
        </w:tc>
        <w:tc>
          <w:tcPr>
            <w:tcW w:w="2280" w:type="dxa"/>
          </w:tcPr>
          <w:p w14:paraId="76237CC8" w14:textId="77777777" w:rsidR="00237D4B" w:rsidRPr="00FF276E" w:rsidRDefault="00E35FF3">
            <w:r w:rsidRPr="00FF276E">
              <w:t>descriptivo</w:t>
            </w:r>
          </w:p>
        </w:tc>
        <w:tc>
          <w:tcPr>
            <w:tcW w:w="2280" w:type="dxa"/>
          </w:tcPr>
          <w:p w14:paraId="4A770BE7" w14:textId="77777777" w:rsidR="00237D4B" w:rsidRPr="00FF276E" w:rsidRDefault="00E35FF3" w:rsidP="00733C44">
            <w:pPr>
              <w:jc w:val="both"/>
            </w:pPr>
            <w:r w:rsidRPr="00FF276E">
              <w:t>Las familias detectadas en pocos países muestran mayor caída de supervivencia, pero con intervalos de confianza amplios</w:t>
            </w:r>
          </w:p>
        </w:tc>
      </w:tr>
      <w:tr w:rsidR="00237D4B" w:rsidRPr="00FF276E" w14:paraId="75B61327" w14:textId="77777777">
        <w:trPr>
          <w:cantSplit/>
          <w:jc w:val="center"/>
        </w:trPr>
        <w:tc>
          <w:tcPr>
            <w:tcW w:w="2280" w:type="dxa"/>
          </w:tcPr>
          <w:p w14:paraId="15DF8B34" w14:textId="77777777" w:rsidR="00237D4B" w:rsidRPr="00FF276E" w:rsidRDefault="00E35FF3">
            <w:r w:rsidRPr="00FF276E">
              <w:t>log_growth_early (familias)</w:t>
            </w:r>
          </w:p>
        </w:tc>
        <w:tc>
          <w:tcPr>
            <w:tcW w:w="2280" w:type="dxa"/>
          </w:tcPr>
          <w:p w14:paraId="3BEC10D9" w14:textId="77777777" w:rsidR="00237D4B" w:rsidRPr="00FF276E" w:rsidRDefault="00E35FF3">
            <w:r w:rsidRPr="00FF276E">
              <w:t>Mediana=4.78</w:t>
            </w:r>
          </w:p>
        </w:tc>
        <w:tc>
          <w:tcPr>
            <w:tcW w:w="2280" w:type="dxa"/>
          </w:tcPr>
          <w:p w14:paraId="6A4F2F31" w14:textId="77777777" w:rsidR="00237D4B" w:rsidRPr="00FF276E" w:rsidRDefault="00E35FF3">
            <w:r w:rsidRPr="00FF276E">
              <w:t>p=0.083</w:t>
            </w:r>
          </w:p>
        </w:tc>
        <w:tc>
          <w:tcPr>
            <w:tcW w:w="2280" w:type="dxa"/>
          </w:tcPr>
          <w:p w14:paraId="7AD26D3F" w14:textId="77777777" w:rsidR="00237D4B" w:rsidRPr="00FF276E" w:rsidRDefault="00E35FF3" w:rsidP="00733C44">
            <w:pPr>
              <w:jc w:val="both"/>
            </w:pPr>
            <w:r w:rsidRPr="00FF276E">
              <w:t>Borderline: crecimiento rápido inicial no garantiza dominancia duradera</w:t>
            </w:r>
          </w:p>
        </w:tc>
      </w:tr>
      <w:tr w:rsidR="00237D4B" w:rsidRPr="00FF276E" w14:paraId="7490202D" w14:textId="77777777">
        <w:trPr>
          <w:cantSplit/>
          <w:jc w:val="center"/>
        </w:trPr>
        <w:tc>
          <w:tcPr>
            <w:tcW w:w="2280" w:type="dxa"/>
          </w:tcPr>
          <w:p w14:paraId="6509B660" w14:textId="77777777" w:rsidR="00237D4B" w:rsidRPr="00FF276E" w:rsidRDefault="00E35FF3">
            <w:r w:rsidRPr="00FF276E">
              <w:t>is_rbd (mutaciones)</w:t>
            </w:r>
          </w:p>
        </w:tc>
        <w:tc>
          <w:tcPr>
            <w:tcW w:w="2280" w:type="dxa"/>
          </w:tcPr>
          <w:p w14:paraId="40A680C7" w14:textId="77777777" w:rsidR="00237D4B" w:rsidRPr="00FF276E" w:rsidRDefault="00E35FF3">
            <w:r w:rsidRPr="00FF276E">
              <w:t>RBD / No-RBD</w:t>
            </w:r>
          </w:p>
        </w:tc>
        <w:tc>
          <w:tcPr>
            <w:tcW w:w="2280" w:type="dxa"/>
          </w:tcPr>
          <w:p w14:paraId="4EA72E74" w14:textId="77777777" w:rsidR="00237D4B" w:rsidRPr="00FF276E" w:rsidRDefault="00E35FF3">
            <w:r w:rsidRPr="00FF276E">
              <w:t>p&lt;0.001</w:t>
            </w:r>
          </w:p>
        </w:tc>
        <w:tc>
          <w:tcPr>
            <w:tcW w:w="2280" w:type="dxa"/>
          </w:tcPr>
          <w:p w14:paraId="7EAE0203" w14:textId="77777777" w:rsidR="00237D4B" w:rsidRPr="00FF276E" w:rsidRDefault="00E35FF3" w:rsidP="00733C44">
            <w:pPr>
              <w:jc w:val="both"/>
            </w:pPr>
            <w:r w:rsidRPr="00FF276E">
              <w:t>Mutaciones en RBD se fijan mucho antes que las de otras regiones</w:t>
            </w:r>
          </w:p>
        </w:tc>
      </w:tr>
      <w:tr w:rsidR="00237D4B" w:rsidRPr="00FF276E" w14:paraId="01778B05" w14:textId="77777777">
        <w:trPr>
          <w:cantSplit/>
          <w:jc w:val="center"/>
        </w:trPr>
        <w:tc>
          <w:tcPr>
            <w:tcW w:w="2280" w:type="dxa"/>
          </w:tcPr>
          <w:p w14:paraId="582F5E8C" w14:textId="77777777" w:rsidR="00237D4B" w:rsidRPr="00FF276E" w:rsidRDefault="00E35FF3">
            <w:r w:rsidRPr="00FF276E">
              <w:t>is_spike (mutaciones)</w:t>
            </w:r>
          </w:p>
        </w:tc>
        <w:tc>
          <w:tcPr>
            <w:tcW w:w="2280" w:type="dxa"/>
          </w:tcPr>
          <w:p w14:paraId="2C4B18F9" w14:textId="77777777" w:rsidR="00237D4B" w:rsidRPr="00FF276E" w:rsidRDefault="00E35FF3">
            <w:r w:rsidRPr="00FF276E">
              <w:t>Spike / NSP12</w:t>
            </w:r>
          </w:p>
        </w:tc>
        <w:tc>
          <w:tcPr>
            <w:tcW w:w="2280" w:type="dxa"/>
          </w:tcPr>
          <w:p w14:paraId="5809C273" w14:textId="77777777" w:rsidR="00237D4B" w:rsidRPr="00FF276E" w:rsidRDefault="00E35FF3">
            <w:r w:rsidRPr="00FF276E">
              <w:t>p&lt;0.001</w:t>
            </w:r>
          </w:p>
        </w:tc>
        <w:tc>
          <w:tcPr>
            <w:tcW w:w="2280" w:type="dxa"/>
          </w:tcPr>
          <w:p w14:paraId="0975A640" w14:textId="77777777" w:rsidR="00237D4B" w:rsidRPr="00FF276E" w:rsidRDefault="00E35FF3" w:rsidP="00733C44">
            <w:pPr>
              <w:jc w:val="both"/>
            </w:pPr>
            <w:r w:rsidRPr="00FF276E">
              <w:t>Mutaciones Spike se fijan sustancialmente antes que las de NSP12</w:t>
            </w:r>
          </w:p>
        </w:tc>
      </w:tr>
    </w:tbl>
    <w:p w14:paraId="08ED16ED" w14:textId="77777777" w:rsidR="00AE4C5F" w:rsidRPr="00FF276E" w:rsidRDefault="00E35FF3">
      <w:pPr>
        <w:jc w:val="both"/>
      </w:pPr>
      <w:r w:rsidRPr="00FF276E">
        <w:t>La separación borderline por velocidad de crecimiento temprano (p=0.083) es coherente con el resultado del modelo Cox multivariante (7.3.2): el crecimiento inicial explosivo no es, por sí solo, un predictor fiable de dominancia duradera. La separación por RBD y por proteína de origen (Spike vs. NSP12), en cambio, es muy marcada (p&lt;0.001 en ambos casos): las mutaciones bajo mayor presión selectiva inmune se fijan sistemáticamente antes que el resto (</w:t>
      </w:r>
      <w:r w:rsidR="002D022C" w:rsidRPr="00FF276E">
        <w:t>Figura 7.8</w:t>
      </w:r>
      <w:r w:rsidRPr="00FF276E">
        <w:t>).</w:t>
      </w:r>
    </w:p>
    <w:p w14:paraId="0A953D98" w14:textId="095FFE36" w:rsidR="00161FE3" w:rsidRDefault="0072479D">
      <w:pPr>
        <w:keepNext/>
        <w:spacing w:before="280" w:after="80"/>
        <w:jc w:val="center"/>
      </w:pPr>
      <w:r>
        <w:lastRenderedPageBreak/>
        <w:drawing>
          <wp:anchor distT="0" distB="0" distL="114300" distR="114300" simplePos="0" relativeHeight="251658262" behindDoc="0" locked="0" layoutInCell="1" allowOverlap="1" wp14:anchorId="22AA7221" wp14:editId="394516B8">
            <wp:simplePos x="0" y="0"/>
            <wp:positionH relativeFrom="column">
              <wp:posOffset>139065</wp:posOffset>
            </wp:positionH>
            <wp:positionV relativeFrom="paragraph">
              <wp:posOffset>309880</wp:posOffset>
            </wp:positionV>
            <wp:extent cx="5486400" cy="423497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8a_km_paises.png"/>
                    <pic:cNvPicPr/>
                  </pic:nvPicPr>
                  <pic:blipFill>
                    <a:blip r:embed="rId33"/>
                    <a:stretch>
                      <a:fillRect/>
                    </a:stretch>
                  </pic:blipFill>
                  <pic:spPr>
                    <a:xfrm>
                      <a:off x="0" y="0"/>
                      <a:ext cx="5486400" cy="4234970"/>
                    </a:xfrm>
                    <a:prstGeom prst="rect">
                      <a:avLst/>
                    </a:prstGeom>
                  </pic:spPr>
                </pic:pic>
              </a:graphicData>
            </a:graphic>
          </wp:anchor>
        </w:drawing>
      </w:r>
    </w:p>
    <w:p w14:paraId="1A68AC3D" w14:textId="35FB6BB6" w:rsidR="00161FE3" w:rsidRDefault="00000000">
      <w:pPr>
        <w:keepLines/>
        <w:spacing w:before="80" w:after="280"/>
        <w:jc w:val="center"/>
      </w:pPr>
      <w:r>
        <w:rPr>
          <w:b/>
        </w:rPr>
        <w:t>Figura 7.8a. Kaplan-Meier: probabilidad de que una familia no haya alcanzado aún el umbral de dominancia, según el número de países en que se detectó tempranamente.</w:t>
      </w:r>
    </w:p>
    <w:p w14:paraId="3CA46698" w14:textId="77777777" w:rsidR="00161FE3" w:rsidRDefault="00000000">
      <w:pPr>
        <w:keepNext/>
        <w:spacing w:before="280" w:after="80"/>
        <w:jc w:val="center"/>
      </w:pPr>
      <w:r>
        <w:lastRenderedPageBreak/>
        <w:drawing>
          <wp:anchor distT="0" distB="0" distL="114300" distR="114300" simplePos="0" relativeHeight="251658263" behindDoc="0" locked="0" layoutInCell="1" allowOverlap="1" wp14:anchorId="2C6D499C" wp14:editId="249C0FF4">
            <wp:simplePos x="0" y="0"/>
            <wp:positionH relativeFrom="column">
              <wp:posOffset>-3810</wp:posOffset>
            </wp:positionH>
            <wp:positionV relativeFrom="paragraph">
              <wp:posOffset>262255</wp:posOffset>
            </wp:positionV>
            <wp:extent cx="5486400" cy="423497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8b_km_crecimiento.png"/>
                    <pic:cNvPicPr/>
                  </pic:nvPicPr>
                  <pic:blipFill>
                    <a:blip r:embed="rId34"/>
                    <a:stretch>
                      <a:fillRect/>
                    </a:stretch>
                  </pic:blipFill>
                  <pic:spPr>
                    <a:xfrm>
                      <a:off x="0" y="0"/>
                      <a:ext cx="5486400" cy="4234970"/>
                    </a:xfrm>
                    <a:prstGeom prst="rect">
                      <a:avLst/>
                    </a:prstGeom>
                  </pic:spPr>
                </pic:pic>
              </a:graphicData>
            </a:graphic>
          </wp:anchor>
        </w:drawing>
      </w:r>
    </w:p>
    <w:p w14:paraId="0A00A52C" w14:textId="77777777" w:rsidR="00161FE3" w:rsidRDefault="00000000">
      <w:pPr>
        <w:keepLines/>
        <w:spacing w:before="80" w:after="280"/>
        <w:jc w:val="center"/>
      </w:pPr>
      <w:r>
        <w:rPr>
          <w:b/>
        </w:rPr>
        <w:t>Figura 7.8b. Kaplan-Meier: probabilidad de que una familia no haya alcanzado aún el umbral de dominancia, según su velocidad de crecimiento temprano (lento vs. rápido).</w:t>
      </w:r>
    </w:p>
    <w:p w14:paraId="55CD3531" w14:textId="41607BD4" w:rsidR="00161FE3" w:rsidRDefault="0072479D">
      <w:pPr>
        <w:keepNext/>
        <w:spacing w:before="280" w:after="80"/>
        <w:jc w:val="center"/>
      </w:pPr>
      <w:r>
        <w:lastRenderedPageBreak/>
        <w:drawing>
          <wp:anchor distT="0" distB="0" distL="114300" distR="114300" simplePos="0" relativeHeight="251658264" behindDoc="0" locked="0" layoutInCell="1" allowOverlap="1" wp14:anchorId="5C73FA79" wp14:editId="61404F35">
            <wp:simplePos x="0" y="0"/>
            <wp:positionH relativeFrom="column">
              <wp:posOffset>167640</wp:posOffset>
            </wp:positionH>
            <wp:positionV relativeFrom="paragraph">
              <wp:posOffset>347980</wp:posOffset>
            </wp:positionV>
            <wp:extent cx="5486400" cy="423497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8c_km_rbd.png"/>
                    <pic:cNvPicPr/>
                  </pic:nvPicPr>
                  <pic:blipFill>
                    <a:blip r:embed="rId35"/>
                    <a:stretch>
                      <a:fillRect/>
                    </a:stretch>
                  </pic:blipFill>
                  <pic:spPr>
                    <a:xfrm>
                      <a:off x="0" y="0"/>
                      <a:ext cx="5486400" cy="4234970"/>
                    </a:xfrm>
                    <a:prstGeom prst="rect">
                      <a:avLst/>
                    </a:prstGeom>
                  </pic:spPr>
                </pic:pic>
              </a:graphicData>
            </a:graphic>
          </wp:anchor>
        </w:drawing>
      </w:r>
    </w:p>
    <w:p w14:paraId="3C7E7916" w14:textId="605F417E" w:rsidR="00161FE3" w:rsidRDefault="00000000">
      <w:pPr>
        <w:keepLines/>
        <w:spacing w:before="80" w:after="280"/>
        <w:jc w:val="center"/>
      </w:pPr>
      <w:r>
        <w:rPr>
          <w:b/>
        </w:rPr>
        <w:t>Figura 7.8c. Kaplan-Meier: probabilidad de que una mutación no haya alcanzado aún el umbral de fijación, comparando mutaciones del RBD de Spike frente al resto. Una separación clara entre curvas indica que esa variable adelanta el tiempo hasta la dominancia.</w:t>
      </w:r>
    </w:p>
    <w:p w14:paraId="5AF80420" w14:textId="77777777" w:rsidR="00161FE3" w:rsidRDefault="00000000">
      <w:pPr>
        <w:keepNext/>
        <w:spacing w:before="280" w:after="80"/>
        <w:jc w:val="center"/>
      </w:pPr>
      <w:r>
        <w:lastRenderedPageBreak/>
        <w:drawing>
          <wp:anchor distT="0" distB="0" distL="114300" distR="114300" simplePos="0" relativeHeight="251658265" behindDoc="0" locked="0" layoutInCell="1" allowOverlap="1" wp14:anchorId="4BB75820" wp14:editId="25AB06D5">
            <wp:simplePos x="0" y="0"/>
            <wp:positionH relativeFrom="column">
              <wp:posOffset>120015</wp:posOffset>
            </wp:positionH>
            <wp:positionV relativeFrom="paragraph">
              <wp:posOffset>338455</wp:posOffset>
            </wp:positionV>
            <wp:extent cx="5486400" cy="423497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8d_km_spike.png"/>
                    <pic:cNvPicPr/>
                  </pic:nvPicPr>
                  <pic:blipFill>
                    <a:blip r:embed="rId36"/>
                    <a:stretch>
                      <a:fillRect/>
                    </a:stretch>
                  </pic:blipFill>
                  <pic:spPr>
                    <a:xfrm>
                      <a:off x="0" y="0"/>
                      <a:ext cx="5486400" cy="4234970"/>
                    </a:xfrm>
                    <a:prstGeom prst="rect">
                      <a:avLst/>
                    </a:prstGeom>
                  </pic:spPr>
                </pic:pic>
              </a:graphicData>
            </a:graphic>
          </wp:anchor>
        </w:drawing>
      </w:r>
    </w:p>
    <w:p w14:paraId="77C3363C" w14:textId="77777777" w:rsidR="00161FE3" w:rsidRDefault="00000000">
      <w:pPr>
        <w:keepLines/>
        <w:spacing w:before="80" w:after="280"/>
        <w:jc w:val="center"/>
      </w:pPr>
      <w:r>
        <w:rPr>
          <w:b/>
        </w:rPr>
        <w:t>Figura 7.8d. Kaplan-Meier: probabilidad de que una mutación no haya alcanzado aún el umbral de fijación, comparando mutaciones de Spike frente a NSP12.</w:t>
      </w:r>
    </w:p>
    <w:p w14:paraId="17048A3E" w14:textId="77777777" w:rsidR="00AE4C5F" w:rsidRPr="00FF276E" w:rsidRDefault="00E35FF3">
      <w:pPr>
        <w:pStyle w:val="Ttulo3"/>
        <w:rPr>
          <w:color w:val="4F81BD"/>
        </w:rPr>
      </w:pPr>
      <w:bookmarkStart w:id="83" w:name="_Toc234787636"/>
      <w:bookmarkStart w:id="84" w:name="_Toc238464664"/>
      <w:r w:rsidRPr="00FF276E">
        <w:rPr>
          <w:color w:val="4F81BD"/>
        </w:rPr>
        <w:t>7.3.2. Modelo Cox PH: hazard ratios e interpretación biológica</w:t>
      </w:r>
      <w:bookmarkEnd w:id="83"/>
      <w:bookmarkEnd w:id="84"/>
    </w:p>
    <w:p w14:paraId="24383C79" w14:textId="77777777" w:rsidR="00AE4C5F" w:rsidRPr="00FF276E" w:rsidRDefault="00E35FF3">
      <w:pPr>
        <w:jc w:val="both"/>
      </w:pPr>
      <w:r w:rsidRPr="00FF276E">
        <w:t xml:space="preserve">El modelo Cox PH ajustado sobre las familias Pango con covariables completas (n=69; universo: 435 familias observadas, 254 en el </w:t>
      </w:r>
      <w:r w:rsidRPr="006825B8">
        <w:t>conjunto de datos</w:t>
      </w:r>
      <w:r w:rsidRPr="00FF276E">
        <w:t xml:space="preserve"> de supervivencia, 23 eventos, EPV=7.7) con penalización L2 </w:t>
      </w:r>
      <w:hyperlink w:anchor="ref46" w:history="1">
        <w:r>
          <w:rPr>
            <w:rStyle w:val="Hipervnculo"/>
          </w:rPr>
          <w:t>[46]</w:t>
        </w:r>
      </w:hyperlink>
      <w:r w:rsidRPr="00FF276E">
        <w:t xml:space="preserve"> (penalizer=0.1 en la librería lifelines </w:t>
      </w:r>
      <w:hyperlink w:anchor="ref47" w:history="1">
        <w:r>
          <w:rPr>
            <w:rStyle w:val="Hipervnculo"/>
          </w:rPr>
          <w:t>[47]</w:t>
        </w:r>
      </w:hyperlink>
      <w:r w:rsidRPr="00FF276E">
        <w:t xml:space="preserve">, para estabilizar los coeficientes con pocos eventos) obtiene los siguientes </w:t>
      </w:r>
      <w:r w:rsidRPr="00F0520D">
        <w:rPr>
          <w:i/>
        </w:rPr>
        <w:t>hazard ratios</w:t>
      </w:r>
      <w:r w:rsidRPr="00FF276E">
        <w:t xml:space="preserve"> (</w:t>
      </w:r>
      <w:r w:rsidR="00490580" w:rsidRPr="00FF276E">
        <w:t>Tabla 7.4</w:t>
      </w:r>
      <w:r w:rsidRPr="00FF276E">
        <w:t>):</w:t>
      </w:r>
    </w:p>
    <w:p w14:paraId="1C74C088" w14:textId="77777777" w:rsidR="00237D4B" w:rsidRPr="00FF276E" w:rsidRDefault="00490580">
      <w:pPr>
        <w:keepNext/>
        <w:spacing w:before="280" w:after="80"/>
        <w:jc w:val="center"/>
      </w:pPr>
      <w:r w:rsidRPr="00FF276E">
        <w:t>Tabla 7.4</w:t>
      </w:r>
      <w:r w:rsidR="00E35FF3" w:rsidRPr="00FF276E">
        <w:t>. Hazard ratios del modelo Cox PH para familias Pango.</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80"/>
        <w:gridCol w:w="2277"/>
        <w:gridCol w:w="2277"/>
        <w:gridCol w:w="2278"/>
      </w:tblGrid>
      <w:tr w:rsidR="00AE4C5F" w:rsidRPr="00FF276E" w14:paraId="221B62F1" w14:textId="77777777">
        <w:trPr>
          <w:cantSplit/>
          <w:tblHeader/>
          <w:jc w:val="center"/>
        </w:trPr>
        <w:tc>
          <w:tcPr>
            <w:tcW w:w="2280" w:type="dxa"/>
            <w:shd w:val="clear" w:color="auto" w:fill="DCE6F1"/>
          </w:tcPr>
          <w:p w14:paraId="460ADB53" w14:textId="77777777" w:rsidR="00237D4B" w:rsidRPr="00FF276E" w:rsidRDefault="00E35FF3">
            <w:r w:rsidRPr="006825B8">
              <w:rPr>
                <w:b/>
                <w:i/>
              </w:rPr>
              <w:t>Feature</w:t>
            </w:r>
          </w:p>
        </w:tc>
        <w:tc>
          <w:tcPr>
            <w:tcW w:w="2280" w:type="dxa"/>
            <w:shd w:val="clear" w:color="auto" w:fill="DCE6F1"/>
          </w:tcPr>
          <w:p w14:paraId="298CE8A7" w14:textId="77777777" w:rsidR="00237D4B" w:rsidRPr="00FF276E" w:rsidRDefault="00E35FF3">
            <w:r w:rsidRPr="00FF276E">
              <w:rPr>
                <w:b/>
              </w:rPr>
              <w:t>HR (exp(b))</w:t>
            </w:r>
          </w:p>
        </w:tc>
        <w:tc>
          <w:tcPr>
            <w:tcW w:w="2280" w:type="dxa"/>
            <w:shd w:val="clear" w:color="auto" w:fill="DCE6F1"/>
          </w:tcPr>
          <w:p w14:paraId="1DC61EEB" w14:textId="77777777" w:rsidR="00237D4B" w:rsidRPr="00FF276E" w:rsidRDefault="00E35FF3">
            <w:r w:rsidRPr="00FF276E">
              <w:rPr>
                <w:b/>
              </w:rPr>
              <w:t>p-valor</w:t>
            </w:r>
          </w:p>
        </w:tc>
        <w:tc>
          <w:tcPr>
            <w:tcW w:w="2280" w:type="dxa"/>
            <w:shd w:val="clear" w:color="auto" w:fill="DCE6F1"/>
          </w:tcPr>
          <w:p w14:paraId="549CE574" w14:textId="77777777" w:rsidR="00237D4B" w:rsidRPr="00FF276E" w:rsidRDefault="00E35FF3">
            <w:r w:rsidRPr="00FF276E">
              <w:rPr>
                <w:b/>
              </w:rPr>
              <w:t>Interpretación biológica</w:t>
            </w:r>
          </w:p>
        </w:tc>
      </w:tr>
      <w:tr w:rsidR="00237D4B" w:rsidRPr="00FF276E" w14:paraId="7CDB27E9" w14:textId="77777777">
        <w:trPr>
          <w:cantSplit/>
          <w:jc w:val="center"/>
        </w:trPr>
        <w:tc>
          <w:tcPr>
            <w:tcW w:w="2280" w:type="dxa"/>
          </w:tcPr>
          <w:p w14:paraId="0FAF7C30" w14:textId="77777777" w:rsidR="00237D4B" w:rsidRPr="00FF276E" w:rsidRDefault="00E35FF3">
            <w:r w:rsidRPr="00FF276E">
              <w:t>log_freq_detect</w:t>
            </w:r>
          </w:p>
        </w:tc>
        <w:tc>
          <w:tcPr>
            <w:tcW w:w="2280" w:type="dxa"/>
          </w:tcPr>
          <w:p w14:paraId="5A3BFF99" w14:textId="77777777" w:rsidR="00237D4B" w:rsidRPr="00FF276E" w:rsidRDefault="00E35FF3">
            <w:r w:rsidRPr="00FF276E">
              <w:t>2.245</w:t>
            </w:r>
          </w:p>
        </w:tc>
        <w:tc>
          <w:tcPr>
            <w:tcW w:w="2280" w:type="dxa"/>
          </w:tcPr>
          <w:p w14:paraId="4AC97955" w14:textId="77777777" w:rsidR="00237D4B" w:rsidRPr="00FF276E" w:rsidRDefault="00E35FF3">
            <w:r w:rsidRPr="00FF276E">
              <w:t>&lt;0.001</w:t>
            </w:r>
          </w:p>
        </w:tc>
        <w:tc>
          <w:tcPr>
            <w:tcW w:w="2280" w:type="dxa"/>
          </w:tcPr>
          <w:p w14:paraId="2E40892C" w14:textId="77777777" w:rsidR="00237D4B" w:rsidRPr="00FF276E" w:rsidRDefault="00E35FF3" w:rsidP="00733C44">
            <w:pPr>
              <w:jc w:val="both"/>
            </w:pPr>
            <w:r w:rsidRPr="00FF276E">
              <w:t>Doble de freq. inicial -&gt; 2.2x más rápido hacia dominancia</w:t>
            </w:r>
          </w:p>
        </w:tc>
      </w:tr>
      <w:tr w:rsidR="00237D4B" w:rsidRPr="00FF276E" w14:paraId="710F790C" w14:textId="77777777">
        <w:trPr>
          <w:cantSplit/>
          <w:jc w:val="center"/>
        </w:trPr>
        <w:tc>
          <w:tcPr>
            <w:tcW w:w="2280" w:type="dxa"/>
          </w:tcPr>
          <w:p w14:paraId="7E97080E" w14:textId="77777777" w:rsidR="00237D4B" w:rsidRPr="00FF276E" w:rsidRDefault="00E35FF3">
            <w:r w:rsidRPr="00FF276E">
              <w:lastRenderedPageBreak/>
              <w:t>log_growth_early</w:t>
            </w:r>
          </w:p>
        </w:tc>
        <w:tc>
          <w:tcPr>
            <w:tcW w:w="2280" w:type="dxa"/>
          </w:tcPr>
          <w:p w14:paraId="031D0F61" w14:textId="77777777" w:rsidR="00237D4B" w:rsidRPr="00FF276E" w:rsidRDefault="00E35FF3">
            <w:r w:rsidRPr="00FF276E">
              <w:t>1.044</w:t>
            </w:r>
          </w:p>
        </w:tc>
        <w:tc>
          <w:tcPr>
            <w:tcW w:w="2280" w:type="dxa"/>
          </w:tcPr>
          <w:p w14:paraId="0CE3AD52" w14:textId="77777777" w:rsidR="00237D4B" w:rsidRPr="00FF276E" w:rsidRDefault="00E35FF3">
            <w:r w:rsidRPr="00FF276E">
              <w:t>0.445 (n.s.)</w:t>
            </w:r>
          </w:p>
        </w:tc>
        <w:tc>
          <w:tcPr>
            <w:tcW w:w="2280" w:type="dxa"/>
          </w:tcPr>
          <w:p w14:paraId="157CD54C" w14:textId="77777777" w:rsidR="00237D4B" w:rsidRPr="00FF276E" w:rsidRDefault="00E35FF3" w:rsidP="00733C44">
            <w:pPr>
              <w:jc w:val="both"/>
            </w:pPr>
            <w:r w:rsidRPr="00FF276E">
              <w:t>Crecimiento rápido inicial no predice tiempo de dominancia</w:t>
            </w:r>
          </w:p>
        </w:tc>
      </w:tr>
      <w:tr w:rsidR="00237D4B" w:rsidRPr="00FF276E" w14:paraId="2EB793B5" w14:textId="77777777">
        <w:trPr>
          <w:cantSplit/>
          <w:jc w:val="center"/>
        </w:trPr>
        <w:tc>
          <w:tcPr>
            <w:tcW w:w="2280" w:type="dxa"/>
          </w:tcPr>
          <w:p w14:paraId="79A3B801" w14:textId="77777777" w:rsidR="00237D4B" w:rsidRPr="00FF276E" w:rsidRDefault="00E35FF3">
            <w:r w:rsidRPr="00FF276E">
              <w:t>n_countries_detect</w:t>
            </w:r>
          </w:p>
        </w:tc>
        <w:tc>
          <w:tcPr>
            <w:tcW w:w="2280" w:type="dxa"/>
          </w:tcPr>
          <w:p w14:paraId="18D70383" w14:textId="77777777" w:rsidR="00237D4B" w:rsidRPr="00FF276E" w:rsidRDefault="00E35FF3">
            <w:r w:rsidRPr="00FF276E">
              <w:t>1.000</w:t>
            </w:r>
          </w:p>
        </w:tc>
        <w:tc>
          <w:tcPr>
            <w:tcW w:w="2280" w:type="dxa"/>
          </w:tcPr>
          <w:p w14:paraId="0BAE89E4" w14:textId="77777777" w:rsidR="00237D4B" w:rsidRPr="00FF276E" w:rsidRDefault="00E35FF3">
            <w:r w:rsidRPr="00FF276E">
              <w:t>0.993 (n.s.)</w:t>
            </w:r>
          </w:p>
        </w:tc>
        <w:tc>
          <w:tcPr>
            <w:tcW w:w="2280" w:type="dxa"/>
          </w:tcPr>
          <w:p w14:paraId="41ECA660" w14:textId="77777777" w:rsidR="00237D4B" w:rsidRPr="00FF276E" w:rsidRDefault="00E35FF3" w:rsidP="00733C44">
            <w:pPr>
              <w:jc w:val="both"/>
            </w:pPr>
            <w:r w:rsidRPr="00FF276E">
              <w:t>La dispersión geográfica al detectarse no aporta información adicional</w:t>
            </w:r>
          </w:p>
        </w:tc>
      </w:tr>
    </w:tbl>
    <w:p w14:paraId="47E43470" w14:textId="77777777" w:rsidR="00AE4C5F" w:rsidRPr="00FF276E" w:rsidRDefault="00E35FF3">
      <w:pPr>
        <w:jc w:val="both"/>
      </w:pPr>
      <w:r w:rsidRPr="00FF276E">
        <w:t>Para las mutaciones Spike+NSP12 (</w:t>
      </w:r>
      <w:r w:rsidR="00490580" w:rsidRPr="00FF276E">
        <w:t>Tabla 7.5</w:t>
      </w:r>
      <w:r w:rsidRPr="00FF276E">
        <w:t>; n=161 con covariables completas; universo: 637 mutaciones con detección, 101 eventos, EPV=20.2):</w:t>
      </w:r>
    </w:p>
    <w:p w14:paraId="18BC8182" w14:textId="77777777" w:rsidR="00237D4B" w:rsidRPr="00FF276E" w:rsidRDefault="00490580">
      <w:pPr>
        <w:keepNext/>
        <w:spacing w:before="280" w:after="80"/>
        <w:jc w:val="center"/>
      </w:pPr>
      <w:r w:rsidRPr="00FF276E">
        <w:t>Tabla 7.5</w:t>
      </w:r>
      <w:r w:rsidR="00E35FF3" w:rsidRPr="00FF276E">
        <w:t>. Hazard ratios del modelo Cox PH para mutaciones Spike/NSP12.</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7"/>
        <w:gridCol w:w="2277"/>
        <w:gridCol w:w="2279"/>
      </w:tblGrid>
      <w:tr w:rsidR="00AE4C5F" w:rsidRPr="00FF276E" w14:paraId="7AAE2140" w14:textId="77777777">
        <w:trPr>
          <w:cantSplit/>
          <w:tblHeader/>
          <w:jc w:val="center"/>
        </w:trPr>
        <w:tc>
          <w:tcPr>
            <w:tcW w:w="2280" w:type="dxa"/>
            <w:shd w:val="clear" w:color="auto" w:fill="DCE6F1"/>
          </w:tcPr>
          <w:p w14:paraId="12C12362" w14:textId="77777777" w:rsidR="00237D4B" w:rsidRPr="00FF276E" w:rsidRDefault="00E35FF3">
            <w:r w:rsidRPr="006825B8">
              <w:rPr>
                <w:b/>
                <w:i/>
              </w:rPr>
              <w:t>Feature</w:t>
            </w:r>
          </w:p>
        </w:tc>
        <w:tc>
          <w:tcPr>
            <w:tcW w:w="2280" w:type="dxa"/>
            <w:shd w:val="clear" w:color="auto" w:fill="DCE6F1"/>
          </w:tcPr>
          <w:p w14:paraId="16772133" w14:textId="77777777" w:rsidR="00237D4B" w:rsidRPr="00FF276E" w:rsidRDefault="00E35FF3">
            <w:r w:rsidRPr="00FF276E">
              <w:rPr>
                <w:b/>
              </w:rPr>
              <w:t>HR (exp(b))</w:t>
            </w:r>
          </w:p>
        </w:tc>
        <w:tc>
          <w:tcPr>
            <w:tcW w:w="2280" w:type="dxa"/>
            <w:shd w:val="clear" w:color="auto" w:fill="DCE6F1"/>
          </w:tcPr>
          <w:p w14:paraId="734156A6" w14:textId="77777777" w:rsidR="00237D4B" w:rsidRPr="00FF276E" w:rsidRDefault="00E35FF3">
            <w:r w:rsidRPr="00FF276E">
              <w:rPr>
                <w:b/>
              </w:rPr>
              <w:t>p-valor</w:t>
            </w:r>
          </w:p>
        </w:tc>
        <w:tc>
          <w:tcPr>
            <w:tcW w:w="2280" w:type="dxa"/>
            <w:shd w:val="clear" w:color="auto" w:fill="DCE6F1"/>
          </w:tcPr>
          <w:p w14:paraId="2CA61631" w14:textId="77777777" w:rsidR="00237D4B" w:rsidRPr="00FF276E" w:rsidRDefault="00E35FF3">
            <w:r w:rsidRPr="00FF276E">
              <w:rPr>
                <w:b/>
              </w:rPr>
              <w:t>Interpretación biológica</w:t>
            </w:r>
          </w:p>
        </w:tc>
      </w:tr>
      <w:tr w:rsidR="00237D4B" w:rsidRPr="00FF276E" w14:paraId="1AF8F234" w14:textId="77777777">
        <w:trPr>
          <w:cantSplit/>
          <w:jc w:val="center"/>
        </w:trPr>
        <w:tc>
          <w:tcPr>
            <w:tcW w:w="2280" w:type="dxa"/>
          </w:tcPr>
          <w:p w14:paraId="053E9116" w14:textId="77777777" w:rsidR="00237D4B" w:rsidRPr="00FF276E" w:rsidRDefault="00E35FF3">
            <w:r w:rsidRPr="00FF276E">
              <w:t>is_rbd</w:t>
            </w:r>
          </w:p>
        </w:tc>
        <w:tc>
          <w:tcPr>
            <w:tcW w:w="2280" w:type="dxa"/>
          </w:tcPr>
          <w:p w14:paraId="4C509DC8" w14:textId="77777777" w:rsidR="00237D4B" w:rsidRPr="00FF276E" w:rsidRDefault="00E35FF3">
            <w:r w:rsidRPr="00FF276E">
              <w:t>1.921</w:t>
            </w:r>
          </w:p>
        </w:tc>
        <w:tc>
          <w:tcPr>
            <w:tcW w:w="2280" w:type="dxa"/>
          </w:tcPr>
          <w:p w14:paraId="4BC1E29D" w14:textId="77777777" w:rsidR="00237D4B" w:rsidRPr="00FF276E" w:rsidRDefault="00E35FF3">
            <w:r w:rsidRPr="00FF276E">
              <w:t>&lt;0.001</w:t>
            </w:r>
          </w:p>
        </w:tc>
        <w:tc>
          <w:tcPr>
            <w:tcW w:w="2280" w:type="dxa"/>
          </w:tcPr>
          <w:p w14:paraId="681F7C85" w14:textId="77777777" w:rsidR="00237D4B" w:rsidRPr="00FF276E" w:rsidRDefault="00E35FF3" w:rsidP="00733C44">
            <w:pPr>
              <w:jc w:val="both"/>
            </w:pPr>
            <w:r w:rsidRPr="00FF276E">
              <w:t>Mutaciones RBD se fijan casi el doble de rápido que las no-RBD</w:t>
            </w:r>
          </w:p>
        </w:tc>
      </w:tr>
      <w:tr w:rsidR="00237D4B" w:rsidRPr="00FF276E" w14:paraId="54E48B85" w14:textId="77777777">
        <w:trPr>
          <w:cantSplit/>
          <w:jc w:val="center"/>
        </w:trPr>
        <w:tc>
          <w:tcPr>
            <w:tcW w:w="2280" w:type="dxa"/>
          </w:tcPr>
          <w:p w14:paraId="5B708058" w14:textId="77777777" w:rsidR="00237D4B" w:rsidRPr="00FF276E" w:rsidRDefault="00E35FF3">
            <w:r w:rsidRPr="00FF276E">
              <w:t>is_spike</w:t>
            </w:r>
          </w:p>
        </w:tc>
        <w:tc>
          <w:tcPr>
            <w:tcW w:w="2280" w:type="dxa"/>
          </w:tcPr>
          <w:p w14:paraId="05F88671" w14:textId="77777777" w:rsidR="00237D4B" w:rsidRPr="00FF276E" w:rsidRDefault="00E35FF3">
            <w:r w:rsidRPr="00FF276E">
              <w:t>1.872</w:t>
            </w:r>
          </w:p>
        </w:tc>
        <w:tc>
          <w:tcPr>
            <w:tcW w:w="2280" w:type="dxa"/>
          </w:tcPr>
          <w:p w14:paraId="2A4A41B1" w14:textId="77777777" w:rsidR="00237D4B" w:rsidRPr="00FF276E" w:rsidRDefault="00E35FF3">
            <w:r w:rsidRPr="00FF276E">
              <w:t>0.012</w:t>
            </w:r>
          </w:p>
        </w:tc>
        <w:tc>
          <w:tcPr>
            <w:tcW w:w="2280" w:type="dxa"/>
          </w:tcPr>
          <w:p w14:paraId="7DC6F651" w14:textId="77777777" w:rsidR="00237D4B" w:rsidRPr="00FF276E" w:rsidRDefault="00E35FF3" w:rsidP="00733C44">
            <w:pPr>
              <w:jc w:val="both"/>
            </w:pPr>
            <w:r w:rsidRPr="00FF276E">
              <w:t>Mutaciones Spike se fijan más rápido que NSP12</w:t>
            </w:r>
          </w:p>
        </w:tc>
      </w:tr>
      <w:tr w:rsidR="00237D4B" w:rsidRPr="00FF276E" w14:paraId="1BE38A14" w14:textId="77777777">
        <w:trPr>
          <w:cantSplit/>
          <w:jc w:val="center"/>
        </w:trPr>
        <w:tc>
          <w:tcPr>
            <w:tcW w:w="2280" w:type="dxa"/>
          </w:tcPr>
          <w:p w14:paraId="5EC93E2A" w14:textId="77777777" w:rsidR="00237D4B" w:rsidRPr="00FF276E" w:rsidRDefault="00E35FF3">
            <w:r w:rsidRPr="00FF276E">
              <w:t>n_families</w:t>
            </w:r>
          </w:p>
        </w:tc>
        <w:tc>
          <w:tcPr>
            <w:tcW w:w="2280" w:type="dxa"/>
          </w:tcPr>
          <w:p w14:paraId="6962AAB8" w14:textId="77777777" w:rsidR="00237D4B" w:rsidRPr="00FF276E" w:rsidRDefault="00E35FF3">
            <w:r w:rsidRPr="00FF276E">
              <w:t>1.272</w:t>
            </w:r>
          </w:p>
        </w:tc>
        <w:tc>
          <w:tcPr>
            <w:tcW w:w="2280" w:type="dxa"/>
          </w:tcPr>
          <w:p w14:paraId="093C5067" w14:textId="77777777" w:rsidR="00237D4B" w:rsidRPr="00FF276E" w:rsidRDefault="00E35FF3">
            <w:r w:rsidRPr="00FF276E">
              <w:t>&lt;0.001</w:t>
            </w:r>
          </w:p>
        </w:tc>
        <w:tc>
          <w:tcPr>
            <w:tcW w:w="2280" w:type="dxa"/>
          </w:tcPr>
          <w:p w14:paraId="69E5470C" w14:textId="77777777" w:rsidR="00237D4B" w:rsidRPr="00FF276E" w:rsidRDefault="00E35FF3" w:rsidP="00733C44">
            <w:pPr>
              <w:jc w:val="both"/>
            </w:pPr>
            <w:r w:rsidRPr="00FF276E">
              <w:t>Cada linaje adicional con la mutación -&gt; 27% más rápida fijación</w:t>
            </w:r>
          </w:p>
        </w:tc>
      </w:tr>
      <w:tr w:rsidR="00237D4B" w:rsidRPr="00FF276E" w14:paraId="01C87275" w14:textId="77777777">
        <w:trPr>
          <w:cantSplit/>
          <w:jc w:val="center"/>
        </w:trPr>
        <w:tc>
          <w:tcPr>
            <w:tcW w:w="2280" w:type="dxa"/>
          </w:tcPr>
          <w:p w14:paraId="0334D844" w14:textId="77777777" w:rsidR="00237D4B" w:rsidRPr="00FF276E" w:rsidRDefault="00E35FF3">
            <w:r w:rsidRPr="00FF276E">
              <w:t>log_freq_detect</w:t>
            </w:r>
          </w:p>
        </w:tc>
        <w:tc>
          <w:tcPr>
            <w:tcW w:w="2280" w:type="dxa"/>
          </w:tcPr>
          <w:p w14:paraId="1D59689F" w14:textId="77777777" w:rsidR="00237D4B" w:rsidRPr="00FF276E" w:rsidRDefault="00E35FF3">
            <w:r w:rsidRPr="00FF276E">
              <w:t>1.115</w:t>
            </w:r>
          </w:p>
        </w:tc>
        <w:tc>
          <w:tcPr>
            <w:tcW w:w="2280" w:type="dxa"/>
          </w:tcPr>
          <w:p w14:paraId="0A0F4CEC" w14:textId="77777777" w:rsidR="00237D4B" w:rsidRPr="00FF276E" w:rsidRDefault="00E35FF3">
            <w:r w:rsidRPr="00FF276E">
              <w:t>0.167 (n.s.)</w:t>
            </w:r>
          </w:p>
        </w:tc>
        <w:tc>
          <w:tcPr>
            <w:tcW w:w="2280" w:type="dxa"/>
          </w:tcPr>
          <w:p w14:paraId="0806A3D9" w14:textId="77777777" w:rsidR="00237D4B" w:rsidRPr="00FF276E" w:rsidRDefault="00E35FF3" w:rsidP="00733C44">
            <w:pPr>
              <w:jc w:val="both"/>
            </w:pPr>
            <w:r w:rsidRPr="00FF276E">
              <w:t>Frecuencia inicial no significativa a nivel de mutación individual</w:t>
            </w:r>
          </w:p>
        </w:tc>
      </w:tr>
      <w:tr w:rsidR="00237D4B" w:rsidRPr="00FF276E" w14:paraId="04AE0B35" w14:textId="77777777">
        <w:trPr>
          <w:cantSplit/>
          <w:jc w:val="center"/>
        </w:trPr>
        <w:tc>
          <w:tcPr>
            <w:tcW w:w="2280" w:type="dxa"/>
          </w:tcPr>
          <w:p w14:paraId="01DBB5F2" w14:textId="77777777" w:rsidR="00237D4B" w:rsidRPr="00FF276E" w:rsidRDefault="00E35FF3">
            <w:r w:rsidRPr="00FF276E">
              <w:t>log_growth_early</w:t>
            </w:r>
          </w:p>
        </w:tc>
        <w:tc>
          <w:tcPr>
            <w:tcW w:w="2280" w:type="dxa"/>
          </w:tcPr>
          <w:p w14:paraId="64DFA44F" w14:textId="77777777" w:rsidR="00237D4B" w:rsidRPr="00FF276E" w:rsidRDefault="00E35FF3">
            <w:r w:rsidRPr="00FF276E">
              <w:t>0.934</w:t>
            </w:r>
          </w:p>
        </w:tc>
        <w:tc>
          <w:tcPr>
            <w:tcW w:w="2280" w:type="dxa"/>
          </w:tcPr>
          <w:p w14:paraId="72AF5FA8" w14:textId="77777777" w:rsidR="00237D4B" w:rsidRPr="00FF276E" w:rsidRDefault="00E35FF3">
            <w:r w:rsidRPr="00FF276E">
              <w:t>0.059</w:t>
            </w:r>
          </w:p>
        </w:tc>
        <w:tc>
          <w:tcPr>
            <w:tcW w:w="2280" w:type="dxa"/>
          </w:tcPr>
          <w:p w14:paraId="4CF596FB" w14:textId="77777777" w:rsidR="00237D4B" w:rsidRPr="00FF276E" w:rsidRDefault="00E35FF3" w:rsidP="00733C44">
            <w:pPr>
              <w:jc w:val="both"/>
            </w:pPr>
            <w:r w:rsidRPr="00FF276E">
              <w:t>HR&lt;1, borderline: crecimiento explosivo inicial puede indicar hitchhiking</w:t>
            </w:r>
          </w:p>
        </w:tc>
      </w:tr>
    </w:tbl>
    <w:p w14:paraId="23F09293" w14:textId="77777777" w:rsidR="00AE4C5F" w:rsidRPr="00FF276E" w:rsidRDefault="00AE4C5F">
      <w:pPr>
        <w:spacing w:before="280"/>
        <w:jc w:val="both"/>
      </w:pPr>
    </w:p>
    <w:p w14:paraId="5F33CC38" w14:textId="77777777" w:rsidR="00AE4C5F" w:rsidRPr="00FF276E" w:rsidRDefault="00E35FF3">
      <w:pPr>
        <w:jc w:val="both"/>
      </w:pPr>
      <w:r w:rsidRPr="00FF276E">
        <w:lastRenderedPageBreak/>
        <w:t>El C-índice del modelo de familias es 0.684 y del modelo de mutaciones es 0.679 (ambos in-sample, sin holdout). El C-índice se interpreta como: "En el X% de los pares de (familia A, familia B) donde A dominó antes que B, el modelo asigna mayor riesgo a A". Un C=0.5 corresponde a predicción aleatoria y C=1.0 a predicción perfecta. Los valores obtenidos (0.679-0.684) son superiores a la predicción aleatoria, y por tanto útiles para ordenar las familias por velocidad esperada hacia la dominancia, pero deben interpretarse con cautela como medidas de bondad de ajuste descriptivo, no como capacidad predictiva validada fuera de muestra.</w:t>
      </w:r>
    </w:p>
    <w:p w14:paraId="612E70BC" w14:textId="77777777" w:rsidR="00AE4C5F" w:rsidRPr="00FF276E" w:rsidRDefault="00E35FF3">
      <w:pPr>
        <w:jc w:val="both"/>
      </w:pPr>
      <w:r w:rsidRPr="00FF276E">
        <w:t>Limitación: el modelo de familias tiene EPV=7.7 (Events Per Variable), ligeramente por debajo del umbral clásico de EPV=10. Los coeficientes son estables bajo la penalización L2 aplicada, pero sus intervalos de confianza son amplios. El C-índice y los HRs deben considerarse estimaciones orientativas, no precisas. El modelo de mutaciones (EPV=20.2) tiene mayor solidez estadística y sus HRs son más fiables.</w:t>
      </w:r>
    </w:p>
    <w:p w14:paraId="4DA7C7D2" w14:textId="77777777" w:rsidR="00AE4C5F" w:rsidRPr="00FF276E" w:rsidRDefault="00E35FF3">
      <w:pPr>
        <w:jc w:val="both"/>
      </w:pPr>
      <w:r w:rsidRPr="00FF276E">
        <w:t>El HR por debajo de 1 de log_growth_early para mutaciones (HR=0.934, p=0.059, borderline) apunta en una dirección biológicamente interesante, aunque sin alcanzar significación al nivel convencional de 0.05: las mutaciones con crecimiento inicial más explosivo tendrían menor probabilidad de fijarse a largo plazo. La explicación candidata es el fenómeno de hitchhiking: muchas mutaciones crecen rápido porque están ligadas físicamente en el genoma a una variante dominante transitoria; cuando esa variante es desplazada, la mutación desaparece con ella. Las mutaciones que sí muestran una asociación estadísticamente sólida con la fijación duradera son las que emergen en múltiples contextos genéticos independientes (HR de n_families=1.272, p&lt;0.001), no las que hacen un sprint inicial (</w:t>
      </w:r>
      <w:r w:rsidR="002D022C" w:rsidRPr="00FF276E">
        <w:t>Figura 7.9</w:t>
      </w:r>
      <w:r w:rsidRPr="00FF276E">
        <w:t>).</w:t>
      </w:r>
    </w:p>
    <w:p w14:paraId="38A98FDE" w14:textId="77777777" w:rsidR="00AE4C5F" w:rsidRPr="00FF276E" w:rsidRDefault="00E35FF3">
      <w:pPr>
        <w:jc w:val="both"/>
      </w:pPr>
      <w:r w:rsidRPr="00FF276E">
        <w:br w:type="page"/>
      </w:r>
    </w:p>
    <w:p w14:paraId="5C01038D" w14:textId="77777777" w:rsidR="00161FE3" w:rsidRDefault="00000000">
      <w:pPr>
        <w:keepNext/>
        <w:spacing w:before="280" w:after="80"/>
        <w:jc w:val="center"/>
      </w:pPr>
      <w:r>
        <w:lastRenderedPageBreak/>
        <w:drawing>
          <wp:anchor distT="0" distB="0" distL="114300" distR="114300" simplePos="0" relativeHeight="251658266" behindDoc="0" locked="0" layoutInCell="1" allowOverlap="1" wp14:anchorId="06A3E7E3" wp14:editId="4E6C8437">
            <wp:simplePos x="0" y="0"/>
            <wp:positionH relativeFrom="column">
              <wp:posOffset>210185</wp:posOffset>
            </wp:positionH>
            <wp:positionV relativeFrom="paragraph">
              <wp:posOffset>285750</wp:posOffset>
            </wp:positionV>
            <wp:extent cx="5486400" cy="3527766"/>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9a_hr_familias.png"/>
                    <pic:cNvPicPr/>
                  </pic:nvPicPr>
                  <pic:blipFill>
                    <a:blip r:embed="rId37"/>
                    <a:stretch>
                      <a:fillRect/>
                    </a:stretch>
                  </pic:blipFill>
                  <pic:spPr>
                    <a:xfrm>
                      <a:off x="0" y="0"/>
                      <a:ext cx="5486400" cy="3527766"/>
                    </a:xfrm>
                    <a:prstGeom prst="rect">
                      <a:avLst/>
                    </a:prstGeom>
                  </pic:spPr>
                </pic:pic>
              </a:graphicData>
            </a:graphic>
          </wp:anchor>
        </w:drawing>
      </w:r>
    </w:p>
    <w:p w14:paraId="2DF21223" w14:textId="77777777" w:rsidR="00161FE3" w:rsidRDefault="00000000">
      <w:pPr>
        <w:keepLines/>
        <w:spacing w:before="80" w:after="280"/>
        <w:jc w:val="center"/>
      </w:pPr>
      <w:r>
        <w:rPr>
          <w:b/>
        </w:rPr>
        <w:t>Figura 7.9a. Hazard ratios con intervalo de confianza del 95% del modelo Cox PH para familias Pango (umbral de dominancia 10% global): un HR mayor que 1 indica que valores altos de esa variable aceleran la dominancia, y un intervalo que no cruza el valor 1 indica significación estadística.</w:t>
      </w:r>
    </w:p>
    <w:p w14:paraId="3AAEA15B" w14:textId="77777777" w:rsidR="00161FE3" w:rsidRDefault="00000000">
      <w:pPr>
        <w:keepNext/>
        <w:spacing w:before="280" w:after="80"/>
        <w:jc w:val="center"/>
      </w:pPr>
      <w:r>
        <w:lastRenderedPageBreak/>
        <w:drawing>
          <wp:anchor distT="0" distB="0" distL="114300" distR="114300" simplePos="0" relativeHeight="251658267" behindDoc="0" locked="0" layoutInCell="1" allowOverlap="1" wp14:anchorId="7D71B37E" wp14:editId="4916A864">
            <wp:simplePos x="0" y="0"/>
            <wp:positionH relativeFrom="column">
              <wp:posOffset>158115</wp:posOffset>
            </wp:positionH>
            <wp:positionV relativeFrom="paragraph">
              <wp:posOffset>233680</wp:posOffset>
            </wp:positionV>
            <wp:extent cx="5486400" cy="3532543"/>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9b_hr_mutaciones.png"/>
                    <pic:cNvPicPr/>
                  </pic:nvPicPr>
                  <pic:blipFill>
                    <a:blip r:embed="rId38"/>
                    <a:stretch>
                      <a:fillRect/>
                    </a:stretch>
                  </pic:blipFill>
                  <pic:spPr>
                    <a:xfrm>
                      <a:off x="0" y="0"/>
                      <a:ext cx="5486400" cy="3532543"/>
                    </a:xfrm>
                    <a:prstGeom prst="rect">
                      <a:avLst/>
                    </a:prstGeom>
                  </pic:spPr>
                </pic:pic>
              </a:graphicData>
            </a:graphic>
          </wp:anchor>
        </w:drawing>
      </w:r>
    </w:p>
    <w:p w14:paraId="5870F553" w14:textId="77777777" w:rsidR="00161FE3" w:rsidRDefault="00000000">
      <w:pPr>
        <w:keepLines/>
        <w:spacing w:before="80" w:after="280"/>
        <w:jc w:val="center"/>
      </w:pPr>
      <w:r>
        <w:rPr>
          <w:b/>
        </w:rPr>
        <w:t>Figura 7.9b. Hazard ratios con intervalo de confianza del 95% del modelo Cox PH para mutaciones Spike/NSP12 (umbral de fijación 30%). La frecuencia en el momento de detección y la pertenencia al RBD son los predictores más fuertes y significativos.</w:t>
      </w:r>
    </w:p>
    <w:p w14:paraId="0080661F" w14:textId="77777777" w:rsidR="00AE4C5F" w:rsidRPr="00FF276E" w:rsidRDefault="00E35FF3">
      <w:pPr>
        <w:pStyle w:val="Ttulo2"/>
        <w:rPr>
          <w:color w:val="2E74B5"/>
        </w:rPr>
      </w:pPr>
      <w:bookmarkStart w:id="85" w:name="_Toc234787637"/>
      <w:bookmarkStart w:id="86" w:name="_Toc238464665"/>
      <w:r w:rsidRPr="00FF276E">
        <w:rPr>
          <w:color w:val="2E74B5"/>
        </w:rPr>
        <w:t>7.4. Sistema de alerta combinado y priorización de vigilancia (Módulo 4.4)</w:t>
      </w:r>
      <w:bookmarkEnd w:id="85"/>
      <w:bookmarkEnd w:id="86"/>
    </w:p>
    <w:p w14:paraId="58DA5521" w14:textId="77777777" w:rsidR="00AE4C5F" w:rsidRPr="00FF276E" w:rsidRDefault="00E35FF3">
      <w:pPr>
        <w:jc w:val="both"/>
      </w:pPr>
      <w:r w:rsidRPr="00FF276E">
        <w:t xml:space="preserve">La </w:t>
      </w:r>
      <w:r w:rsidRPr="006825B8">
        <w:rPr>
          <w:i/>
        </w:rPr>
        <w:t>priorización</w:t>
      </w:r>
      <w:r w:rsidRPr="00FF276E">
        <w:t xml:space="preserve"> de vigilancia activa integra las señales de los clasificadores entrenados sobre M2 y M2-SPNSP30 en una </w:t>
      </w:r>
      <w:r w:rsidRPr="006825B8">
        <w:rPr>
          <w:i/>
        </w:rPr>
        <w:t>Puntuación</w:t>
      </w:r>
      <w:r w:rsidRPr="00FF276E">
        <w:t xml:space="preserve"> conjunta para cada familia activa (frecuencia &gt;0.01%) en la semana de análisis, dando más peso a la señal mutacional: </w:t>
      </w:r>
      <w:r w:rsidRPr="006825B8">
        <w:rPr>
          <w:i/>
        </w:rPr>
        <w:t>Puntuación</w:t>
      </w:r>
      <w:r w:rsidRPr="00FF276E">
        <w:t xml:space="preserve"> = 0.40 × P(M2) + 0.60 × P(M2-SPNSP30). Ambas probabilidades están calibradas con IsotonicRegression sobre el 20% de validación interna, no con la salida cruda de LightGBM.</w:t>
      </w:r>
    </w:p>
    <w:p w14:paraId="4B00B0B9" w14:textId="77777777" w:rsidR="00A138F6" w:rsidRPr="00FF276E" w:rsidRDefault="00365BD5">
      <w:pPr>
        <w:jc w:val="both"/>
      </w:pPr>
      <w:r w:rsidRPr="00FF276E">
        <w:t xml:space="preserve">Esta calibración fue necesaria porque la regularización que corrigió el sobreajuste de M2/M2-SPNSP30 (8.1) desplazó la probabilidad bruta y un umbral fijo de 0.60 dejaba de ser selectivo: llegó a marcar 12 de las 16 familias activas como HIGH. Un diagnóstico por quintiles confirmó que no se trata de una sobrecorrección: ni siquiera las familias con mayor </w:t>
      </w:r>
      <w:r w:rsidRPr="006825B8">
        <w:rPr>
          <w:i/>
        </w:rPr>
        <w:t>puntuación</w:t>
      </w:r>
      <w:r w:rsidRPr="00FF276E">
        <w:t xml:space="preserve"> bruta crecían por encima del umbral MEDIUM.</w:t>
      </w:r>
    </w:p>
    <w:p w14:paraId="7488976C" w14:textId="77777777" w:rsidR="00A138F6" w:rsidRPr="00FF276E" w:rsidRDefault="00E35FF3">
      <w:pPr>
        <w:jc w:val="both"/>
      </w:pPr>
      <w:r w:rsidRPr="00FF276E">
        <w:t xml:space="preserve">Calibrar una probabilidad significa corregirla para que “P=0.60” signifique realmente “60% de las veces que el modelo dice esto, ocurre”, igual que se recalibra un termómetro que marca sistemáticamente demasiado alto. El diagnóstico por quintiles divide las predicciones en 5 grupos de mayor a menor </w:t>
      </w:r>
      <w:r w:rsidRPr="006825B8">
        <w:rPr>
          <w:i/>
        </w:rPr>
        <w:t>puntuación</w:t>
      </w:r>
      <w:r w:rsidRPr="00FF276E">
        <w:t xml:space="preserve"> y comprueba, grupo a grupo, qué fracción de casos realmente creció, del mismo modo que se comprobaría si un </w:t>
      </w:r>
      <w:r w:rsidRPr="002D0178">
        <w:rPr>
          <w:i/>
        </w:rPr>
        <w:t>test</w:t>
      </w:r>
      <w:r w:rsidRPr="00FF276E">
        <w:t xml:space="preserve"> diagnóstico de “alta sospecha” acierta la mayoría de las veces.</w:t>
      </w:r>
    </w:p>
    <w:p w14:paraId="372611DB" w14:textId="77777777" w:rsidR="00A138F6" w:rsidRPr="00FF276E" w:rsidRDefault="00E35FF3">
      <w:pPr>
        <w:jc w:val="both"/>
      </w:pPr>
      <w:r w:rsidRPr="00FF276E">
        <w:lastRenderedPageBreak/>
        <w:t>Los niveles de alerta son (</w:t>
      </w:r>
      <w:r w:rsidR="00490580" w:rsidRPr="00FF276E">
        <w:t>Tabla 7.6</w:t>
      </w:r>
      <w:r w:rsidRPr="00FF276E">
        <w:t>):</w:t>
      </w:r>
    </w:p>
    <w:p w14:paraId="4A87CFB5" w14:textId="77777777" w:rsidR="00237D4B" w:rsidRPr="00FF276E" w:rsidRDefault="00490580">
      <w:pPr>
        <w:keepNext/>
        <w:spacing w:before="280" w:after="80"/>
        <w:jc w:val="center"/>
      </w:pPr>
      <w:r w:rsidRPr="00FF276E">
        <w:t>Tabla 7.6</w:t>
      </w:r>
      <w:r w:rsidR="00E35FF3" w:rsidRPr="00FF276E">
        <w:t>. Niveles de alerta de la priorización de vigilancia, sobre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702B6D2A" w14:textId="77777777">
        <w:trPr>
          <w:cantSplit/>
          <w:tblHeader/>
          <w:jc w:val="center"/>
        </w:trPr>
        <w:tc>
          <w:tcPr>
            <w:tcW w:w="3041" w:type="dxa"/>
            <w:shd w:val="clear" w:color="auto" w:fill="DCE6F1"/>
          </w:tcPr>
          <w:p w14:paraId="573821BA" w14:textId="77777777" w:rsidR="00237D4B" w:rsidRPr="00FF276E" w:rsidRDefault="00E35FF3">
            <w:r w:rsidRPr="00FF276E">
              <w:rPr>
                <w:b/>
              </w:rPr>
              <w:t>Nivel</w:t>
            </w:r>
          </w:p>
        </w:tc>
        <w:tc>
          <w:tcPr>
            <w:tcW w:w="3041" w:type="dxa"/>
            <w:shd w:val="clear" w:color="auto" w:fill="DCE6F1"/>
          </w:tcPr>
          <w:p w14:paraId="1F72C7A5" w14:textId="77777777" w:rsidR="00237D4B" w:rsidRPr="00FF276E" w:rsidRDefault="00E35FF3">
            <w:r w:rsidRPr="00FF276E">
              <w:rPr>
                <w:b/>
              </w:rPr>
              <w:t>Umbral (P calibrada)</w:t>
            </w:r>
          </w:p>
        </w:tc>
        <w:tc>
          <w:tcPr>
            <w:tcW w:w="3041" w:type="dxa"/>
            <w:shd w:val="clear" w:color="auto" w:fill="DCE6F1"/>
          </w:tcPr>
          <w:p w14:paraId="1161CE13" w14:textId="77777777" w:rsidR="00237D4B" w:rsidRPr="00FF276E" w:rsidRDefault="00E35FF3">
            <w:r w:rsidRPr="00FF276E">
              <w:rPr>
                <w:b/>
              </w:rPr>
              <w:t>Interpretación</w:t>
            </w:r>
          </w:p>
        </w:tc>
      </w:tr>
      <w:tr w:rsidR="00237D4B" w:rsidRPr="00FF276E" w14:paraId="53FA9FCE" w14:textId="77777777">
        <w:trPr>
          <w:cantSplit/>
          <w:jc w:val="center"/>
        </w:trPr>
        <w:tc>
          <w:tcPr>
            <w:tcW w:w="3041" w:type="dxa"/>
          </w:tcPr>
          <w:p w14:paraId="4D07E249" w14:textId="77777777" w:rsidR="00237D4B" w:rsidRPr="00FF276E" w:rsidRDefault="00E35FF3">
            <w:r w:rsidRPr="00FF276E">
              <w:t>HIGH</w:t>
            </w:r>
          </w:p>
        </w:tc>
        <w:tc>
          <w:tcPr>
            <w:tcW w:w="3041" w:type="dxa"/>
          </w:tcPr>
          <w:p w14:paraId="4280F871" w14:textId="77777777" w:rsidR="00237D4B" w:rsidRPr="00FF276E" w:rsidRDefault="00E35FF3">
            <w:r w:rsidRPr="00FF276E">
              <w:t>P &gt;= 0.60</w:t>
            </w:r>
          </w:p>
        </w:tc>
        <w:tc>
          <w:tcPr>
            <w:tcW w:w="3041" w:type="dxa"/>
          </w:tcPr>
          <w:p w14:paraId="68C7CC6F" w14:textId="77777777" w:rsidR="00237D4B" w:rsidRPr="00FF276E" w:rsidRDefault="00E35FF3" w:rsidP="00733C44">
            <w:pPr>
              <w:jc w:val="both"/>
            </w:pPr>
            <w:r w:rsidRPr="00FF276E">
              <w:t>Probabilidad real de crecimiento significativo &gt;=60%; prioridad máxima</w:t>
            </w:r>
          </w:p>
        </w:tc>
      </w:tr>
      <w:tr w:rsidR="00237D4B" w:rsidRPr="00FF276E" w14:paraId="31793EA0" w14:textId="77777777">
        <w:trPr>
          <w:cantSplit/>
          <w:jc w:val="center"/>
        </w:trPr>
        <w:tc>
          <w:tcPr>
            <w:tcW w:w="3041" w:type="dxa"/>
          </w:tcPr>
          <w:p w14:paraId="50D187BD" w14:textId="77777777" w:rsidR="00237D4B" w:rsidRPr="00FF276E" w:rsidRDefault="00E35FF3">
            <w:r w:rsidRPr="00FF276E">
              <w:t>MEDIUM</w:t>
            </w:r>
          </w:p>
        </w:tc>
        <w:tc>
          <w:tcPr>
            <w:tcW w:w="3041" w:type="dxa"/>
          </w:tcPr>
          <w:p w14:paraId="115138B4" w14:textId="77777777" w:rsidR="00237D4B" w:rsidRPr="00FF276E" w:rsidRDefault="00E35FF3">
            <w:r w:rsidRPr="00FF276E">
              <w:t>0.30 &lt;= P &lt; 0.60</w:t>
            </w:r>
          </w:p>
        </w:tc>
        <w:tc>
          <w:tcPr>
            <w:tcW w:w="3041" w:type="dxa"/>
          </w:tcPr>
          <w:p w14:paraId="73F8F91A" w14:textId="77777777" w:rsidR="00237D4B" w:rsidRPr="00FF276E" w:rsidRDefault="00E35FF3">
            <w:r w:rsidRPr="00FF276E">
              <w:t>Señal moderada; monitorizar de cerca</w:t>
            </w:r>
          </w:p>
        </w:tc>
      </w:tr>
      <w:tr w:rsidR="00237D4B" w:rsidRPr="00FF276E" w14:paraId="63F1C66B" w14:textId="77777777">
        <w:trPr>
          <w:cantSplit/>
          <w:jc w:val="center"/>
        </w:trPr>
        <w:tc>
          <w:tcPr>
            <w:tcW w:w="3041" w:type="dxa"/>
          </w:tcPr>
          <w:p w14:paraId="1364546C" w14:textId="77777777" w:rsidR="00237D4B" w:rsidRPr="00FF276E" w:rsidRDefault="00E35FF3">
            <w:r w:rsidRPr="00FF276E">
              <w:t>WATCH</w:t>
            </w:r>
          </w:p>
        </w:tc>
        <w:tc>
          <w:tcPr>
            <w:tcW w:w="3041" w:type="dxa"/>
          </w:tcPr>
          <w:p w14:paraId="0B0773FA" w14:textId="77777777" w:rsidR="00237D4B" w:rsidRPr="00FF276E" w:rsidRDefault="00E35FF3">
            <w:r w:rsidRPr="00FF276E">
              <w:t>P &lt; 0.30</w:t>
            </w:r>
          </w:p>
        </w:tc>
        <w:tc>
          <w:tcPr>
            <w:tcW w:w="3041" w:type="dxa"/>
          </w:tcPr>
          <w:p w14:paraId="37F8EEE6" w14:textId="77777777" w:rsidR="00237D4B" w:rsidRPr="00FF276E" w:rsidRDefault="00E35FF3" w:rsidP="00733C44">
            <w:pPr>
              <w:jc w:val="both"/>
            </w:pPr>
            <w:r w:rsidRPr="00FF276E">
              <w:t>Detección activa sin señal clara de emergencia</w:t>
            </w:r>
          </w:p>
        </w:tc>
      </w:tr>
    </w:tbl>
    <w:p w14:paraId="72A74B98" w14:textId="77777777" w:rsidR="00AE4C5F" w:rsidRPr="00FF276E" w:rsidRDefault="00E35FF3">
      <w:pPr>
        <w:jc w:val="both"/>
      </w:pPr>
      <w:r w:rsidRPr="00FF276E">
        <w:t xml:space="preserve">Resultados de la </w:t>
      </w:r>
      <w:r w:rsidRPr="006825B8">
        <w:rPr>
          <w:i/>
        </w:rPr>
        <w:t>priorización</w:t>
      </w:r>
      <w:r w:rsidRPr="00FF276E">
        <w:t xml:space="preserve"> en la semana de referencia (2026-01-12):</w:t>
      </w:r>
    </w:p>
    <w:p w14:paraId="170BF5F1" w14:textId="77777777" w:rsidR="00AE4C5F" w:rsidRPr="00FF276E" w:rsidRDefault="00E35FF3">
      <w:pPr>
        <w:jc w:val="both"/>
      </w:pPr>
      <w:r w:rsidRPr="00FF276E">
        <w:t>Ninguna familia alcanza nivel HIGH ni MEDIUM en enero 2026: las 16 familias activas quedan todas en WATCH. Esto no es un fallo del sistema</w:t>
      </w:r>
      <w:r w:rsidR="0051075A" w:rsidRPr="00FF276E">
        <w:rPr>
          <w:rFonts w:cs="Calibri"/>
        </w:rPr>
        <w:t>, sino</w:t>
      </w:r>
      <w:r w:rsidRPr="00FF276E">
        <w:t xml:space="preserve"> información epidemiológica respaldada por datos de validación reales, no solo por la ausencia de una </w:t>
      </w:r>
      <w:r w:rsidRPr="006825B8">
        <w:rPr>
          <w:i/>
        </w:rPr>
        <w:t>puntuación</w:t>
      </w:r>
      <w:r w:rsidRPr="00FF276E">
        <w:t xml:space="preserve"> alta. El sistema no genera falsas alarmas cuando no hay amenaza real, y ahora lo hace con un umbral que representa una probabilidad genuina, no una </w:t>
      </w:r>
      <w:r w:rsidRPr="006825B8">
        <w:rPr>
          <w:i/>
        </w:rPr>
        <w:t>puntuación</w:t>
      </w:r>
      <w:r w:rsidRPr="00FF276E">
        <w:t xml:space="preserve"> sin calibrar.</w:t>
      </w:r>
    </w:p>
    <w:p w14:paraId="40E6CB6F" w14:textId="77777777" w:rsidR="00AE4C5F" w:rsidRPr="00FF276E" w:rsidRDefault="00E35FF3">
      <w:pPr>
        <w:jc w:val="both"/>
      </w:pPr>
      <w:r w:rsidRPr="00FF276E">
        <w:t xml:space="preserve">XFC y PQ lideran la </w:t>
      </w:r>
      <w:r w:rsidRPr="006825B8">
        <w:rPr>
          <w:i/>
        </w:rPr>
        <w:t>priorización</w:t>
      </w:r>
      <w:r w:rsidRPr="00FF276E">
        <w:t xml:space="preserve"> (</w:t>
      </w:r>
      <w:r w:rsidR="00490580" w:rsidRPr="00FF276E">
        <w:t>Tabla 7.7</w:t>
      </w:r>
      <w:r w:rsidRPr="00FF276E">
        <w:t xml:space="preserve">) con </w:t>
      </w:r>
      <w:r w:rsidRPr="006825B8">
        <w:rPr>
          <w:i/>
        </w:rPr>
        <w:t>Puntuación</w:t>
      </w:r>
      <w:r w:rsidRPr="00FF276E">
        <w:t xml:space="preserve">=0.2001 (calibrada), seguidos de XER y XFG, empatadas en 0.1259. XFG, con freq_t0=62.75%, 21 países y log_growth_8w=-0.097 (en desaceleración), ya no lidera la </w:t>
      </w:r>
      <w:r w:rsidRPr="006825B8">
        <w:rPr>
          <w:i/>
        </w:rPr>
        <w:t>priorización</w:t>
      </w:r>
      <w:r w:rsidRPr="00FF276E">
        <w:t xml:space="preserve"> una vez calibrada: su probabilidad real de crecimiento adicional significativo es baja porque está en fase de meseta/declive, no de expansión. El contraste con la lectura pre-calibración (donde XFG lideraba en MEDIUM) es en sí mismo informativo: la calibración corrige precisamente el tipo de sesgo que haría que un dominante consolidado pareciera más amenazante de lo que realmente es (</w:t>
      </w:r>
      <w:r w:rsidR="002D022C" w:rsidRPr="00FF276E">
        <w:t>Figura 7.10</w:t>
      </w:r>
      <w:r w:rsidRPr="00FF276E">
        <w:t>). Combinando esta señal con Cox PH (</w:t>
      </w:r>
      <w:r w:rsidR="002D022C" w:rsidRPr="00FF276E">
        <w:t>Figura 7.11</w:t>
      </w:r>
      <w:r w:rsidRPr="00FF276E">
        <w:t>), NB destaca con la estimación de tiempo hasta dominancia más próxima (13 semanas) pese a su P(lgbm) calibrada baja, simplemente por estar ya cerca del umbral del 10%.</w:t>
      </w:r>
    </w:p>
    <w:p w14:paraId="71173398" w14:textId="77777777" w:rsidR="00237D4B" w:rsidRPr="00FF276E" w:rsidRDefault="00490580">
      <w:pPr>
        <w:keepNext/>
        <w:spacing w:before="280" w:after="80"/>
        <w:jc w:val="center"/>
      </w:pPr>
      <w:r w:rsidRPr="00FF276E">
        <w:t>Tabla 7.7</w:t>
      </w:r>
      <w:r w:rsidR="00E35FF3" w:rsidRPr="00FF276E">
        <w:t>. Priorización de vigilancia de familias Pango activas, semana 2026-01-12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58"/>
        <w:gridCol w:w="1149"/>
        <w:gridCol w:w="1206"/>
        <w:gridCol w:w="1240"/>
        <w:gridCol w:w="1164"/>
        <w:gridCol w:w="1159"/>
        <w:gridCol w:w="2036"/>
      </w:tblGrid>
      <w:tr w:rsidR="00AE4C5F" w:rsidRPr="00FF276E" w14:paraId="2D9D6049" w14:textId="77777777">
        <w:trPr>
          <w:cantSplit/>
          <w:tblHeader/>
          <w:jc w:val="center"/>
        </w:trPr>
        <w:tc>
          <w:tcPr>
            <w:tcW w:w="1303" w:type="dxa"/>
            <w:shd w:val="clear" w:color="auto" w:fill="DCE6F1"/>
          </w:tcPr>
          <w:p w14:paraId="222338FE" w14:textId="77777777" w:rsidR="00237D4B" w:rsidRPr="00FF276E" w:rsidRDefault="00E35FF3">
            <w:pPr>
              <w:rPr>
                <w:sz w:val="18"/>
              </w:rPr>
            </w:pPr>
            <w:r w:rsidRPr="00FF276E">
              <w:rPr>
                <w:b/>
                <w:sz w:val="18"/>
              </w:rPr>
              <w:t>Familia</w:t>
            </w:r>
          </w:p>
        </w:tc>
        <w:tc>
          <w:tcPr>
            <w:tcW w:w="1303" w:type="dxa"/>
            <w:shd w:val="clear" w:color="auto" w:fill="DCE6F1"/>
          </w:tcPr>
          <w:p w14:paraId="3C4E3BF8" w14:textId="77777777" w:rsidR="00237D4B" w:rsidRPr="00FF276E" w:rsidRDefault="00E35FF3">
            <w:pPr>
              <w:rPr>
                <w:sz w:val="18"/>
              </w:rPr>
            </w:pPr>
            <w:r w:rsidRPr="00FF276E">
              <w:rPr>
                <w:b/>
                <w:sz w:val="18"/>
              </w:rPr>
              <w:t>P(M2) calib.</w:t>
            </w:r>
          </w:p>
        </w:tc>
        <w:tc>
          <w:tcPr>
            <w:tcW w:w="1303" w:type="dxa"/>
            <w:shd w:val="clear" w:color="auto" w:fill="DCE6F1"/>
          </w:tcPr>
          <w:p w14:paraId="205F6ED0" w14:textId="77777777" w:rsidR="00237D4B" w:rsidRPr="00FF276E" w:rsidRDefault="00E35FF3">
            <w:pPr>
              <w:rPr>
                <w:sz w:val="18"/>
              </w:rPr>
            </w:pPr>
            <w:r w:rsidRPr="00FF276E">
              <w:rPr>
                <w:b/>
                <w:sz w:val="18"/>
              </w:rPr>
              <w:t>P(M2-SPNSP30) calib.</w:t>
            </w:r>
          </w:p>
        </w:tc>
        <w:tc>
          <w:tcPr>
            <w:tcW w:w="1303" w:type="dxa"/>
            <w:shd w:val="clear" w:color="auto" w:fill="DCE6F1"/>
          </w:tcPr>
          <w:p w14:paraId="082AF39D" w14:textId="77777777" w:rsidR="00237D4B" w:rsidRPr="00FF276E" w:rsidRDefault="00E35FF3">
            <w:pPr>
              <w:rPr>
                <w:sz w:val="18"/>
              </w:rPr>
            </w:pPr>
            <w:r w:rsidRPr="006825B8">
              <w:rPr>
                <w:b/>
                <w:i/>
                <w:sz w:val="18"/>
              </w:rPr>
              <w:t>Puntuación</w:t>
            </w:r>
          </w:p>
        </w:tc>
        <w:tc>
          <w:tcPr>
            <w:tcW w:w="1303" w:type="dxa"/>
            <w:shd w:val="clear" w:color="auto" w:fill="DCE6F1"/>
          </w:tcPr>
          <w:p w14:paraId="72D07D89" w14:textId="77777777" w:rsidR="00237D4B" w:rsidRPr="00FF276E" w:rsidRDefault="00E35FF3">
            <w:pPr>
              <w:rPr>
                <w:sz w:val="18"/>
              </w:rPr>
            </w:pPr>
            <w:r w:rsidRPr="00FF276E">
              <w:rPr>
                <w:b/>
                <w:sz w:val="18"/>
              </w:rPr>
              <w:t>Nivel</w:t>
            </w:r>
          </w:p>
        </w:tc>
        <w:tc>
          <w:tcPr>
            <w:tcW w:w="1303" w:type="dxa"/>
            <w:shd w:val="clear" w:color="auto" w:fill="DCE6F1"/>
          </w:tcPr>
          <w:p w14:paraId="436CF71E" w14:textId="77777777" w:rsidR="00237D4B" w:rsidRPr="00FF276E" w:rsidRDefault="00E35FF3">
            <w:pPr>
              <w:rPr>
                <w:sz w:val="18"/>
              </w:rPr>
            </w:pPr>
            <w:r w:rsidRPr="00FF276E">
              <w:rPr>
                <w:b/>
                <w:sz w:val="18"/>
              </w:rPr>
              <w:t>Freq%</w:t>
            </w:r>
          </w:p>
        </w:tc>
        <w:tc>
          <w:tcPr>
            <w:tcW w:w="1303" w:type="dxa"/>
            <w:shd w:val="clear" w:color="auto" w:fill="DCE6F1"/>
          </w:tcPr>
          <w:p w14:paraId="46510799" w14:textId="77777777" w:rsidR="00237D4B" w:rsidRPr="00FF276E" w:rsidRDefault="00E35FF3">
            <w:pPr>
              <w:rPr>
                <w:sz w:val="18"/>
              </w:rPr>
            </w:pPr>
            <w:r w:rsidRPr="00FF276E">
              <w:rPr>
                <w:b/>
                <w:sz w:val="18"/>
              </w:rPr>
              <w:t>Nota</w:t>
            </w:r>
          </w:p>
        </w:tc>
      </w:tr>
      <w:tr w:rsidR="00237D4B" w:rsidRPr="00FF276E" w14:paraId="3234CAF2" w14:textId="77777777">
        <w:trPr>
          <w:cantSplit/>
          <w:jc w:val="center"/>
        </w:trPr>
        <w:tc>
          <w:tcPr>
            <w:tcW w:w="1183" w:type="dxa"/>
          </w:tcPr>
          <w:p w14:paraId="098392FC" w14:textId="77777777" w:rsidR="00237D4B" w:rsidRPr="00FF276E" w:rsidRDefault="00E35FF3">
            <w:pPr>
              <w:rPr>
                <w:sz w:val="18"/>
              </w:rPr>
            </w:pPr>
            <w:r w:rsidRPr="00FF276E">
              <w:rPr>
                <w:sz w:val="18"/>
              </w:rPr>
              <w:t>XFC</w:t>
            </w:r>
          </w:p>
        </w:tc>
        <w:tc>
          <w:tcPr>
            <w:tcW w:w="1156" w:type="dxa"/>
          </w:tcPr>
          <w:p w14:paraId="17AA8572" w14:textId="77777777" w:rsidR="00237D4B" w:rsidRPr="00FF276E" w:rsidRDefault="00E35FF3">
            <w:pPr>
              <w:rPr>
                <w:sz w:val="18"/>
              </w:rPr>
            </w:pPr>
            <w:r w:rsidRPr="00FF276E">
              <w:rPr>
                <w:sz w:val="18"/>
              </w:rPr>
              <w:t>0.1416</w:t>
            </w:r>
          </w:p>
        </w:tc>
        <w:tc>
          <w:tcPr>
            <w:tcW w:w="1245" w:type="dxa"/>
          </w:tcPr>
          <w:p w14:paraId="03CE2D3A" w14:textId="77777777" w:rsidR="00237D4B" w:rsidRPr="00FF276E" w:rsidRDefault="00E35FF3">
            <w:pPr>
              <w:rPr>
                <w:sz w:val="18"/>
              </w:rPr>
            </w:pPr>
            <w:r w:rsidRPr="00FF276E">
              <w:rPr>
                <w:sz w:val="18"/>
              </w:rPr>
              <w:t>0.2391</w:t>
            </w:r>
          </w:p>
        </w:tc>
        <w:tc>
          <w:tcPr>
            <w:tcW w:w="1141" w:type="dxa"/>
          </w:tcPr>
          <w:p w14:paraId="17A9B023" w14:textId="77777777" w:rsidR="00237D4B" w:rsidRPr="00FF276E" w:rsidRDefault="00E35FF3">
            <w:pPr>
              <w:rPr>
                <w:sz w:val="18"/>
              </w:rPr>
            </w:pPr>
            <w:r w:rsidRPr="00FF276E">
              <w:rPr>
                <w:sz w:val="18"/>
              </w:rPr>
              <w:t>0.2001</w:t>
            </w:r>
          </w:p>
        </w:tc>
        <w:tc>
          <w:tcPr>
            <w:tcW w:w="1228" w:type="dxa"/>
          </w:tcPr>
          <w:p w14:paraId="63D6ECAE" w14:textId="77777777" w:rsidR="00237D4B" w:rsidRPr="00FF276E" w:rsidRDefault="00E35FF3">
            <w:pPr>
              <w:rPr>
                <w:sz w:val="18"/>
              </w:rPr>
            </w:pPr>
            <w:r w:rsidRPr="00FF276E">
              <w:rPr>
                <w:sz w:val="18"/>
              </w:rPr>
              <w:t>WATCH</w:t>
            </w:r>
          </w:p>
        </w:tc>
        <w:tc>
          <w:tcPr>
            <w:tcW w:w="1159" w:type="dxa"/>
          </w:tcPr>
          <w:p w14:paraId="4742B15E" w14:textId="77777777" w:rsidR="00237D4B" w:rsidRPr="00FF276E" w:rsidRDefault="00E35FF3">
            <w:pPr>
              <w:rPr>
                <w:sz w:val="18"/>
              </w:rPr>
            </w:pPr>
            <w:r w:rsidRPr="00FF276E">
              <w:rPr>
                <w:sz w:val="18"/>
              </w:rPr>
              <w:t>3.3%</w:t>
            </w:r>
          </w:p>
        </w:tc>
        <w:tc>
          <w:tcPr>
            <w:tcW w:w="2226" w:type="dxa"/>
          </w:tcPr>
          <w:p w14:paraId="649B3B0A" w14:textId="77777777" w:rsidR="00237D4B" w:rsidRPr="00FF276E" w:rsidRDefault="00E35FF3">
            <w:pPr>
              <w:rPr>
                <w:sz w:val="18"/>
              </w:rPr>
            </w:pPr>
            <w:r w:rsidRPr="00FF276E">
              <w:rPr>
                <w:sz w:val="18"/>
              </w:rPr>
              <w:t xml:space="preserve">Mayor </w:t>
            </w:r>
            <w:r w:rsidRPr="006825B8">
              <w:rPr>
                <w:i/>
                <w:sz w:val="18"/>
              </w:rPr>
              <w:t>Puntuación</w:t>
            </w:r>
            <w:r w:rsidRPr="00FF276E">
              <w:rPr>
                <w:sz w:val="18"/>
              </w:rPr>
              <w:t xml:space="preserve"> calibrada del grupo</w:t>
            </w:r>
          </w:p>
        </w:tc>
      </w:tr>
      <w:tr w:rsidR="00237D4B" w:rsidRPr="00FF276E" w14:paraId="07734F98" w14:textId="77777777">
        <w:trPr>
          <w:cantSplit/>
          <w:jc w:val="center"/>
        </w:trPr>
        <w:tc>
          <w:tcPr>
            <w:tcW w:w="1183" w:type="dxa"/>
          </w:tcPr>
          <w:p w14:paraId="2E5A775D" w14:textId="77777777" w:rsidR="00237D4B" w:rsidRPr="00FF276E" w:rsidRDefault="00E35FF3">
            <w:pPr>
              <w:rPr>
                <w:sz w:val="18"/>
              </w:rPr>
            </w:pPr>
            <w:r w:rsidRPr="00FF276E">
              <w:rPr>
                <w:sz w:val="18"/>
              </w:rPr>
              <w:lastRenderedPageBreak/>
              <w:t>PQ</w:t>
            </w:r>
          </w:p>
        </w:tc>
        <w:tc>
          <w:tcPr>
            <w:tcW w:w="1156" w:type="dxa"/>
          </w:tcPr>
          <w:p w14:paraId="5FA1EF45" w14:textId="77777777" w:rsidR="00237D4B" w:rsidRPr="00FF276E" w:rsidRDefault="00E35FF3">
            <w:pPr>
              <w:rPr>
                <w:sz w:val="18"/>
              </w:rPr>
            </w:pPr>
            <w:r w:rsidRPr="00FF276E">
              <w:rPr>
                <w:sz w:val="18"/>
              </w:rPr>
              <w:t>0.1416</w:t>
            </w:r>
          </w:p>
        </w:tc>
        <w:tc>
          <w:tcPr>
            <w:tcW w:w="1245" w:type="dxa"/>
          </w:tcPr>
          <w:p w14:paraId="626504A7" w14:textId="77777777" w:rsidR="00237D4B" w:rsidRPr="00FF276E" w:rsidRDefault="00E35FF3">
            <w:pPr>
              <w:rPr>
                <w:sz w:val="18"/>
              </w:rPr>
            </w:pPr>
            <w:r w:rsidRPr="00FF276E">
              <w:rPr>
                <w:sz w:val="18"/>
              </w:rPr>
              <w:t>0.2391</w:t>
            </w:r>
          </w:p>
        </w:tc>
        <w:tc>
          <w:tcPr>
            <w:tcW w:w="1141" w:type="dxa"/>
          </w:tcPr>
          <w:p w14:paraId="58706BA9" w14:textId="77777777" w:rsidR="00237D4B" w:rsidRPr="00FF276E" w:rsidRDefault="00E35FF3">
            <w:pPr>
              <w:rPr>
                <w:sz w:val="18"/>
              </w:rPr>
            </w:pPr>
            <w:r w:rsidRPr="00FF276E">
              <w:rPr>
                <w:sz w:val="18"/>
              </w:rPr>
              <w:t>0.2001</w:t>
            </w:r>
          </w:p>
        </w:tc>
        <w:tc>
          <w:tcPr>
            <w:tcW w:w="1228" w:type="dxa"/>
          </w:tcPr>
          <w:p w14:paraId="6BDF08EF" w14:textId="77777777" w:rsidR="00237D4B" w:rsidRPr="00FF276E" w:rsidRDefault="00E35FF3">
            <w:pPr>
              <w:rPr>
                <w:sz w:val="18"/>
              </w:rPr>
            </w:pPr>
            <w:r w:rsidRPr="00FF276E">
              <w:rPr>
                <w:sz w:val="18"/>
              </w:rPr>
              <w:t>WATCH</w:t>
            </w:r>
          </w:p>
        </w:tc>
        <w:tc>
          <w:tcPr>
            <w:tcW w:w="1159" w:type="dxa"/>
          </w:tcPr>
          <w:p w14:paraId="6666B128" w14:textId="77777777" w:rsidR="00237D4B" w:rsidRPr="00FF276E" w:rsidRDefault="00E35FF3">
            <w:pPr>
              <w:rPr>
                <w:sz w:val="18"/>
              </w:rPr>
            </w:pPr>
            <w:r w:rsidRPr="00FF276E">
              <w:rPr>
                <w:sz w:val="18"/>
              </w:rPr>
              <w:t>11.9%</w:t>
            </w:r>
          </w:p>
        </w:tc>
        <w:tc>
          <w:tcPr>
            <w:tcW w:w="2226" w:type="dxa"/>
          </w:tcPr>
          <w:p w14:paraId="0CA740F3" w14:textId="77777777" w:rsidR="00237D4B" w:rsidRPr="00FF276E" w:rsidRDefault="00E35FF3">
            <w:pPr>
              <w:rPr>
                <w:sz w:val="18"/>
              </w:rPr>
            </w:pPr>
            <w:r w:rsidRPr="00FF276E">
              <w:rPr>
                <w:sz w:val="18"/>
              </w:rPr>
              <w:t>Empatada con XFC</w:t>
            </w:r>
          </w:p>
        </w:tc>
      </w:tr>
      <w:tr w:rsidR="00237D4B" w:rsidRPr="00FF276E" w14:paraId="6415F54F" w14:textId="77777777">
        <w:trPr>
          <w:cantSplit/>
          <w:jc w:val="center"/>
        </w:trPr>
        <w:tc>
          <w:tcPr>
            <w:tcW w:w="1183" w:type="dxa"/>
          </w:tcPr>
          <w:p w14:paraId="6DC13F3A" w14:textId="77777777" w:rsidR="00237D4B" w:rsidRPr="00FF276E" w:rsidRDefault="00E35FF3">
            <w:pPr>
              <w:rPr>
                <w:sz w:val="18"/>
              </w:rPr>
            </w:pPr>
            <w:r w:rsidRPr="00FF276E">
              <w:rPr>
                <w:sz w:val="18"/>
              </w:rPr>
              <w:t>XFG</w:t>
            </w:r>
          </w:p>
        </w:tc>
        <w:tc>
          <w:tcPr>
            <w:tcW w:w="1156" w:type="dxa"/>
          </w:tcPr>
          <w:p w14:paraId="29A37913" w14:textId="77777777" w:rsidR="00237D4B" w:rsidRPr="00FF276E" w:rsidRDefault="00E35FF3">
            <w:pPr>
              <w:rPr>
                <w:sz w:val="18"/>
              </w:rPr>
            </w:pPr>
            <w:r w:rsidRPr="00FF276E">
              <w:rPr>
                <w:sz w:val="18"/>
              </w:rPr>
              <w:t>0.1416</w:t>
            </w:r>
          </w:p>
        </w:tc>
        <w:tc>
          <w:tcPr>
            <w:tcW w:w="1245" w:type="dxa"/>
          </w:tcPr>
          <w:p w14:paraId="7F68A20B" w14:textId="77777777" w:rsidR="00237D4B" w:rsidRPr="00FF276E" w:rsidRDefault="00E35FF3">
            <w:pPr>
              <w:rPr>
                <w:sz w:val="18"/>
              </w:rPr>
            </w:pPr>
            <w:r w:rsidRPr="00FF276E">
              <w:rPr>
                <w:sz w:val="18"/>
              </w:rPr>
              <w:t>0.1154</w:t>
            </w:r>
          </w:p>
        </w:tc>
        <w:tc>
          <w:tcPr>
            <w:tcW w:w="1141" w:type="dxa"/>
          </w:tcPr>
          <w:p w14:paraId="6C1D7F86" w14:textId="77777777" w:rsidR="00237D4B" w:rsidRPr="00FF276E" w:rsidRDefault="00E35FF3">
            <w:pPr>
              <w:rPr>
                <w:sz w:val="18"/>
              </w:rPr>
            </w:pPr>
            <w:r w:rsidRPr="00FF276E">
              <w:rPr>
                <w:sz w:val="18"/>
              </w:rPr>
              <w:t>0.1259</w:t>
            </w:r>
          </w:p>
        </w:tc>
        <w:tc>
          <w:tcPr>
            <w:tcW w:w="1228" w:type="dxa"/>
          </w:tcPr>
          <w:p w14:paraId="42B21783" w14:textId="77777777" w:rsidR="00237D4B" w:rsidRPr="00FF276E" w:rsidRDefault="00E35FF3">
            <w:pPr>
              <w:rPr>
                <w:sz w:val="18"/>
              </w:rPr>
            </w:pPr>
            <w:r w:rsidRPr="00FF276E">
              <w:rPr>
                <w:sz w:val="18"/>
              </w:rPr>
              <w:t>WATCH</w:t>
            </w:r>
          </w:p>
        </w:tc>
        <w:tc>
          <w:tcPr>
            <w:tcW w:w="1159" w:type="dxa"/>
          </w:tcPr>
          <w:p w14:paraId="453CE2B8" w14:textId="77777777" w:rsidR="00237D4B" w:rsidRPr="00FF276E" w:rsidRDefault="00E35FF3">
            <w:pPr>
              <w:rPr>
                <w:sz w:val="18"/>
              </w:rPr>
            </w:pPr>
            <w:r w:rsidRPr="00FF276E">
              <w:rPr>
                <w:sz w:val="18"/>
              </w:rPr>
              <w:t>62.75%</w:t>
            </w:r>
          </w:p>
        </w:tc>
        <w:tc>
          <w:tcPr>
            <w:tcW w:w="2226" w:type="dxa"/>
          </w:tcPr>
          <w:p w14:paraId="4BD2766C" w14:textId="77777777" w:rsidR="00237D4B" w:rsidRPr="00FF276E" w:rsidRDefault="00E35FF3" w:rsidP="00733C44">
            <w:pPr>
              <w:jc w:val="both"/>
              <w:rPr>
                <w:sz w:val="18"/>
              </w:rPr>
            </w:pPr>
            <w:r w:rsidRPr="00FF276E">
              <w:rPr>
                <w:sz w:val="18"/>
              </w:rPr>
              <w:t>Dominante en meseta; log_growth_8w=-0.097</w:t>
            </w:r>
          </w:p>
        </w:tc>
      </w:tr>
      <w:tr w:rsidR="00237D4B" w:rsidRPr="00FF276E" w14:paraId="1256ACF7" w14:textId="77777777">
        <w:trPr>
          <w:cantSplit/>
          <w:jc w:val="center"/>
        </w:trPr>
        <w:tc>
          <w:tcPr>
            <w:tcW w:w="1183" w:type="dxa"/>
          </w:tcPr>
          <w:p w14:paraId="3970BD01" w14:textId="77777777" w:rsidR="00237D4B" w:rsidRPr="00FF276E" w:rsidRDefault="00E35FF3">
            <w:pPr>
              <w:rPr>
                <w:sz w:val="18"/>
              </w:rPr>
            </w:pPr>
            <w:r w:rsidRPr="00FF276E">
              <w:rPr>
                <w:sz w:val="18"/>
              </w:rPr>
              <w:t>XER</w:t>
            </w:r>
          </w:p>
        </w:tc>
        <w:tc>
          <w:tcPr>
            <w:tcW w:w="1156" w:type="dxa"/>
          </w:tcPr>
          <w:p w14:paraId="350F9905" w14:textId="77777777" w:rsidR="00237D4B" w:rsidRPr="00FF276E" w:rsidRDefault="00E35FF3">
            <w:pPr>
              <w:rPr>
                <w:sz w:val="18"/>
              </w:rPr>
            </w:pPr>
            <w:r w:rsidRPr="00FF276E">
              <w:rPr>
                <w:sz w:val="18"/>
              </w:rPr>
              <w:t>0.1416</w:t>
            </w:r>
          </w:p>
        </w:tc>
        <w:tc>
          <w:tcPr>
            <w:tcW w:w="1245" w:type="dxa"/>
          </w:tcPr>
          <w:p w14:paraId="326E1D7F" w14:textId="77777777" w:rsidR="00237D4B" w:rsidRPr="00FF276E" w:rsidRDefault="00E35FF3">
            <w:pPr>
              <w:rPr>
                <w:sz w:val="18"/>
              </w:rPr>
            </w:pPr>
            <w:r w:rsidRPr="00FF276E">
              <w:rPr>
                <w:sz w:val="18"/>
              </w:rPr>
              <w:t>0.1154</w:t>
            </w:r>
          </w:p>
        </w:tc>
        <w:tc>
          <w:tcPr>
            <w:tcW w:w="1141" w:type="dxa"/>
          </w:tcPr>
          <w:p w14:paraId="456E7252" w14:textId="77777777" w:rsidR="00237D4B" w:rsidRPr="00FF276E" w:rsidRDefault="00E35FF3">
            <w:pPr>
              <w:rPr>
                <w:sz w:val="18"/>
              </w:rPr>
            </w:pPr>
            <w:r w:rsidRPr="00FF276E">
              <w:rPr>
                <w:sz w:val="18"/>
              </w:rPr>
              <w:t>0.1259</w:t>
            </w:r>
          </w:p>
        </w:tc>
        <w:tc>
          <w:tcPr>
            <w:tcW w:w="1228" w:type="dxa"/>
          </w:tcPr>
          <w:p w14:paraId="39247DD2" w14:textId="77777777" w:rsidR="00237D4B" w:rsidRPr="00FF276E" w:rsidRDefault="00E35FF3">
            <w:pPr>
              <w:rPr>
                <w:sz w:val="18"/>
              </w:rPr>
            </w:pPr>
            <w:r w:rsidRPr="00FF276E">
              <w:rPr>
                <w:sz w:val="18"/>
              </w:rPr>
              <w:t>WATCH</w:t>
            </w:r>
          </w:p>
        </w:tc>
        <w:tc>
          <w:tcPr>
            <w:tcW w:w="1159" w:type="dxa"/>
          </w:tcPr>
          <w:p w14:paraId="47FBA673" w14:textId="77777777" w:rsidR="00237D4B" w:rsidRPr="00FF276E" w:rsidRDefault="00E35FF3">
            <w:pPr>
              <w:rPr>
                <w:sz w:val="18"/>
              </w:rPr>
            </w:pPr>
            <w:r w:rsidRPr="00FF276E">
              <w:rPr>
                <w:sz w:val="18"/>
              </w:rPr>
              <w:t>0.17%</w:t>
            </w:r>
          </w:p>
        </w:tc>
        <w:tc>
          <w:tcPr>
            <w:tcW w:w="2226" w:type="dxa"/>
          </w:tcPr>
          <w:p w14:paraId="1C2D565B" w14:textId="77777777" w:rsidR="00237D4B" w:rsidRPr="00FF276E" w:rsidRDefault="00E35FF3">
            <w:pPr>
              <w:rPr>
                <w:sz w:val="18"/>
              </w:rPr>
            </w:pPr>
            <w:r w:rsidRPr="00FF276E">
              <w:rPr>
                <w:sz w:val="18"/>
              </w:rPr>
              <w:t>Empatada con XFG</w:t>
            </w:r>
          </w:p>
        </w:tc>
      </w:tr>
      <w:tr w:rsidR="00237D4B" w:rsidRPr="00FF276E" w14:paraId="44BF68AD" w14:textId="77777777">
        <w:trPr>
          <w:cantSplit/>
          <w:jc w:val="center"/>
        </w:trPr>
        <w:tc>
          <w:tcPr>
            <w:tcW w:w="1183" w:type="dxa"/>
          </w:tcPr>
          <w:p w14:paraId="22363349" w14:textId="77777777" w:rsidR="00237D4B" w:rsidRPr="00FF276E" w:rsidRDefault="00E35FF3">
            <w:pPr>
              <w:rPr>
                <w:sz w:val="18"/>
              </w:rPr>
            </w:pPr>
            <w:r w:rsidRPr="00FF276E">
              <w:rPr>
                <w:sz w:val="18"/>
              </w:rPr>
              <w:t>BA</w:t>
            </w:r>
          </w:p>
        </w:tc>
        <w:tc>
          <w:tcPr>
            <w:tcW w:w="1156" w:type="dxa"/>
          </w:tcPr>
          <w:p w14:paraId="145A29CD" w14:textId="77777777" w:rsidR="00237D4B" w:rsidRPr="00FF276E" w:rsidRDefault="00E35FF3">
            <w:pPr>
              <w:rPr>
                <w:sz w:val="18"/>
              </w:rPr>
            </w:pPr>
            <w:r w:rsidRPr="00FF276E">
              <w:rPr>
                <w:sz w:val="18"/>
              </w:rPr>
              <w:t>0.0364</w:t>
            </w:r>
          </w:p>
        </w:tc>
        <w:tc>
          <w:tcPr>
            <w:tcW w:w="1245" w:type="dxa"/>
          </w:tcPr>
          <w:p w14:paraId="62024C60" w14:textId="77777777" w:rsidR="00237D4B" w:rsidRPr="00FF276E" w:rsidRDefault="00E35FF3">
            <w:pPr>
              <w:rPr>
                <w:sz w:val="18"/>
              </w:rPr>
            </w:pPr>
            <w:r w:rsidRPr="00FF276E">
              <w:rPr>
                <w:sz w:val="18"/>
              </w:rPr>
              <w:t>0.1282</w:t>
            </w:r>
          </w:p>
        </w:tc>
        <w:tc>
          <w:tcPr>
            <w:tcW w:w="1141" w:type="dxa"/>
          </w:tcPr>
          <w:p w14:paraId="0D38F3D7" w14:textId="77777777" w:rsidR="00237D4B" w:rsidRPr="00FF276E" w:rsidRDefault="00E35FF3">
            <w:pPr>
              <w:rPr>
                <w:sz w:val="18"/>
              </w:rPr>
            </w:pPr>
            <w:r w:rsidRPr="00FF276E">
              <w:rPr>
                <w:sz w:val="18"/>
              </w:rPr>
              <w:t>0.0915</w:t>
            </w:r>
          </w:p>
        </w:tc>
        <w:tc>
          <w:tcPr>
            <w:tcW w:w="1228" w:type="dxa"/>
          </w:tcPr>
          <w:p w14:paraId="5CEF4756" w14:textId="77777777" w:rsidR="00237D4B" w:rsidRPr="00FF276E" w:rsidRDefault="00E35FF3">
            <w:pPr>
              <w:rPr>
                <w:sz w:val="18"/>
              </w:rPr>
            </w:pPr>
            <w:r w:rsidRPr="00FF276E">
              <w:rPr>
                <w:sz w:val="18"/>
              </w:rPr>
              <w:t>WATCH</w:t>
            </w:r>
          </w:p>
        </w:tc>
        <w:tc>
          <w:tcPr>
            <w:tcW w:w="1159" w:type="dxa"/>
          </w:tcPr>
          <w:p w14:paraId="62908BFA" w14:textId="77777777" w:rsidR="00237D4B" w:rsidRPr="00FF276E" w:rsidRDefault="00E35FF3">
            <w:pPr>
              <w:rPr>
                <w:sz w:val="18"/>
              </w:rPr>
            </w:pPr>
            <w:r w:rsidRPr="00FF276E">
              <w:rPr>
                <w:sz w:val="18"/>
              </w:rPr>
              <w:t>1.7%</w:t>
            </w:r>
          </w:p>
        </w:tc>
        <w:tc>
          <w:tcPr>
            <w:tcW w:w="2226" w:type="dxa"/>
          </w:tcPr>
          <w:p w14:paraId="5E56D893" w14:textId="77777777" w:rsidR="00237D4B" w:rsidRPr="00FF276E" w:rsidRDefault="00E35FF3">
            <w:pPr>
              <w:rPr>
                <w:sz w:val="18"/>
              </w:rPr>
            </w:pPr>
            <w:r w:rsidRPr="00FF276E">
              <w:rPr>
                <w:sz w:val="18"/>
              </w:rPr>
              <w:t>Señal moderada en M2-SPNSP30</w:t>
            </w:r>
          </w:p>
        </w:tc>
      </w:tr>
      <w:tr w:rsidR="00237D4B" w:rsidRPr="00FF276E" w14:paraId="096361AE" w14:textId="77777777">
        <w:trPr>
          <w:cantSplit/>
          <w:jc w:val="center"/>
        </w:trPr>
        <w:tc>
          <w:tcPr>
            <w:tcW w:w="1183" w:type="dxa"/>
          </w:tcPr>
          <w:p w14:paraId="7E1F968D" w14:textId="77777777" w:rsidR="00237D4B" w:rsidRPr="00FF276E" w:rsidRDefault="00E35FF3">
            <w:pPr>
              <w:rPr>
                <w:sz w:val="18"/>
              </w:rPr>
            </w:pPr>
            <w:r w:rsidRPr="00FF276E">
              <w:rPr>
                <w:sz w:val="18"/>
              </w:rPr>
              <w:t>XDV</w:t>
            </w:r>
          </w:p>
        </w:tc>
        <w:tc>
          <w:tcPr>
            <w:tcW w:w="1156" w:type="dxa"/>
          </w:tcPr>
          <w:p w14:paraId="1CDF9A08" w14:textId="77777777" w:rsidR="00237D4B" w:rsidRPr="00FF276E" w:rsidRDefault="00E35FF3">
            <w:pPr>
              <w:rPr>
                <w:sz w:val="18"/>
              </w:rPr>
            </w:pPr>
            <w:r w:rsidRPr="00FF276E">
              <w:rPr>
                <w:sz w:val="18"/>
              </w:rPr>
              <w:t>0.0364</w:t>
            </w:r>
          </w:p>
        </w:tc>
        <w:tc>
          <w:tcPr>
            <w:tcW w:w="1245" w:type="dxa"/>
          </w:tcPr>
          <w:p w14:paraId="4924F3A8" w14:textId="77777777" w:rsidR="00237D4B" w:rsidRPr="00FF276E" w:rsidRDefault="00E35FF3">
            <w:pPr>
              <w:rPr>
                <w:sz w:val="18"/>
              </w:rPr>
            </w:pPr>
            <w:r w:rsidRPr="00FF276E">
              <w:rPr>
                <w:sz w:val="18"/>
              </w:rPr>
              <w:t>0.0250</w:t>
            </w:r>
          </w:p>
        </w:tc>
        <w:tc>
          <w:tcPr>
            <w:tcW w:w="1141" w:type="dxa"/>
          </w:tcPr>
          <w:p w14:paraId="29A44A33" w14:textId="77777777" w:rsidR="00237D4B" w:rsidRPr="00FF276E" w:rsidRDefault="00E35FF3">
            <w:pPr>
              <w:rPr>
                <w:sz w:val="18"/>
              </w:rPr>
            </w:pPr>
            <w:r w:rsidRPr="00FF276E">
              <w:rPr>
                <w:sz w:val="18"/>
              </w:rPr>
              <w:t>0.0296</w:t>
            </w:r>
          </w:p>
        </w:tc>
        <w:tc>
          <w:tcPr>
            <w:tcW w:w="1228" w:type="dxa"/>
          </w:tcPr>
          <w:p w14:paraId="1EBF5C06" w14:textId="77777777" w:rsidR="00237D4B" w:rsidRPr="00FF276E" w:rsidRDefault="00E35FF3">
            <w:pPr>
              <w:rPr>
                <w:sz w:val="18"/>
              </w:rPr>
            </w:pPr>
            <w:r w:rsidRPr="00FF276E">
              <w:rPr>
                <w:sz w:val="18"/>
              </w:rPr>
              <w:t>WATCH</w:t>
            </w:r>
          </w:p>
        </w:tc>
        <w:tc>
          <w:tcPr>
            <w:tcW w:w="1159" w:type="dxa"/>
          </w:tcPr>
          <w:p w14:paraId="2E3A0F53" w14:textId="77777777" w:rsidR="00237D4B" w:rsidRPr="00FF276E" w:rsidRDefault="00E35FF3">
            <w:pPr>
              <w:rPr>
                <w:sz w:val="18"/>
              </w:rPr>
            </w:pPr>
            <w:r w:rsidRPr="00FF276E">
              <w:rPr>
                <w:sz w:val="18"/>
              </w:rPr>
              <w:t>1.6%</w:t>
            </w:r>
          </w:p>
        </w:tc>
        <w:tc>
          <w:tcPr>
            <w:tcW w:w="2226" w:type="dxa"/>
          </w:tcPr>
          <w:p w14:paraId="046A9F06" w14:textId="77777777" w:rsidR="00237D4B" w:rsidRPr="00FF276E" w:rsidRDefault="00237D4B">
            <w:pPr>
              <w:rPr>
                <w:sz w:val="18"/>
              </w:rPr>
            </w:pPr>
          </w:p>
        </w:tc>
      </w:tr>
      <w:tr w:rsidR="00237D4B" w:rsidRPr="00FF276E" w14:paraId="1A6DEE8A" w14:textId="77777777">
        <w:trPr>
          <w:cantSplit/>
          <w:jc w:val="center"/>
        </w:trPr>
        <w:tc>
          <w:tcPr>
            <w:tcW w:w="1183" w:type="dxa"/>
          </w:tcPr>
          <w:p w14:paraId="44A7020A" w14:textId="77777777" w:rsidR="00237D4B" w:rsidRPr="00FF276E" w:rsidRDefault="00E35FF3">
            <w:pPr>
              <w:rPr>
                <w:sz w:val="18"/>
              </w:rPr>
            </w:pPr>
            <w:r w:rsidRPr="00FF276E">
              <w:rPr>
                <w:sz w:val="18"/>
              </w:rPr>
              <w:t>NB</w:t>
            </w:r>
          </w:p>
        </w:tc>
        <w:tc>
          <w:tcPr>
            <w:tcW w:w="1156" w:type="dxa"/>
          </w:tcPr>
          <w:p w14:paraId="56060B74" w14:textId="77777777" w:rsidR="00237D4B" w:rsidRPr="00FF276E" w:rsidRDefault="00E35FF3">
            <w:pPr>
              <w:rPr>
                <w:sz w:val="18"/>
              </w:rPr>
            </w:pPr>
            <w:r w:rsidRPr="00FF276E">
              <w:rPr>
                <w:sz w:val="18"/>
              </w:rPr>
              <w:t>0.0364</w:t>
            </w:r>
          </w:p>
        </w:tc>
        <w:tc>
          <w:tcPr>
            <w:tcW w:w="1245" w:type="dxa"/>
          </w:tcPr>
          <w:p w14:paraId="40F24878" w14:textId="77777777" w:rsidR="00237D4B" w:rsidRPr="00FF276E" w:rsidRDefault="00E35FF3">
            <w:pPr>
              <w:rPr>
                <w:sz w:val="18"/>
              </w:rPr>
            </w:pPr>
            <w:r w:rsidRPr="00FF276E">
              <w:rPr>
                <w:sz w:val="18"/>
              </w:rPr>
              <w:t>0.0065</w:t>
            </w:r>
          </w:p>
        </w:tc>
        <w:tc>
          <w:tcPr>
            <w:tcW w:w="1141" w:type="dxa"/>
          </w:tcPr>
          <w:p w14:paraId="29D2E994" w14:textId="77777777" w:rsidR="00237D4B" w:rsidRPr="00FF276E" w:rsidRDefault="00E35FF3">
            <w:pPr>
              <w:rPr>
                <w:sz w:val="18"/>
              </w:rPr>
            </w:pPr>
            <w:r w:rsidRPr="00FF276E">
              <w:rPr>
                <w:sz w:val="18"/>
              </w:rPr>
              <w:t>0.0185</w:t>
            </w:r>
          </w:p>
        </w:tc>
        <w:tc>
          <w:tcPr>
            <w:tcW w:w="1228" w:type="dxa"/>
          </w:tcPr>
          <w:p w14:paraId="1B579F45" w14:textId="77777777" w:rsidR="00237D4B" w:rsidRPr="00FF276E" w:rsidRDefault="00E35FF3">
            <w:pPr>
              <w:rPr>
                <w:sz w:val="18"/>
              </w:rPr>
            </w:pPr>
            <w:r w:rsidRPr="00FF276E">
              <w:rPr>
                <w:sz w:val="18"/>
              </w:rPr>
              <w:t>WATCH</w:t>
            </w:r>
          </w:p>
        </w:tc>
        <w:tc>
          <w:tcPr>
            <w:tcW w:w="1159" w:type="dxa"/>
          </w:tcPr>
          <w:p w14:paraId="0B85DF01" w14:textId="77777777" w:rsidR="00237D4B" w:rsidRPr="00FF276E" w:rsidRDefault="00E35FF3">
            <w:pPr>
              <w:rPr>
                <w:sz w:val="18"/>
              </w:rPr>
            </w:pPr>
            <w:r w:rsidRPr="00FF276E">
              <w:rPr>
                <w:sz w:val="18"/>
              </w:rPr>
              <w:t>9.5%</w:t>
            </w:r>
          </w:p>
        </w:tc>
        <w:tc>
          <w:tcPr>
            <w:tcW w:w="2226" w:type="dxa"/>
          </w:tcPr>
          <w:p w14:paraId="29C8E109" w14:textId="77777777" w:rsidR="00237D4B" w:rsidRPr="00FF276E" w:rsidRDefault="00E35FF3" w:rsidP="00733C44">
            <w:pPr>
              <w:jc w:val="both"/>
              <w:rPr>
                <w:sz w:val="18"/>
              </w:rPr>
            </w:pPr>
            <w:r w:rsidRPr="00FF276E">
              <w:rPr>
                <w:sz w:val="18"/>
              </w:rPr>
              <w:t>Estimación Cox más próxima a dominancia (13 sem)</w:t>
            </w:r>
          </w:p>
        </w:tc>
      </w:tr>
    </w:tbl>
    <w:p w14:paraId="0664D690" w14:textId="77777777" w:rsidR="00AE4C5F" w:rsidRPr="00FF276E" w:rsidRDefault="00AE4C5F">
      <w:pPr>
        <w:spacing w:before="280"/>
        <w:jc w:val="both"/>
      </w:pPr>
    </w:p>
    <w:p w14:paraId="65880F27" w14:textId="77777777" w:rsidR="00161FE3" w:rsidRDefault="00000000">
      <w:pPr>
        <w:keepNext/>
        <w:spacing w:before="280" w:after="80"/>
        <w:jc w:val="center"/>
      </w:pPr>
      <w:r>
        <w:lastRenderedPageBreak/>
        <w:drawing>
          <wp:anchor distT="0" distB="0" distL="114300" distR="114300" simplePos="0" relativeHeight="251658268" behindDoc="0" locked="0" layoutInCell="1" allowOverlap="1" wp14:anchorId="2D435473" wp14:editId="101868F8">
            <wp:simplePos x="0" y="0"/>
            <wp:positionH relativeFrom="column">
              <wp:posOffset>219710</wp:posOffset>
            </wp:positionH>
            <wp:positionV relativeFrom="paragraph">
              <wp:posOffset>285750</wp:posOffset>
            </wp:positionV>
            <wp:extent cx="5486400" cy="4091553"/>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0a_bubble.png"/>
                    <pic:cNvPicPr/>
                  </pic:nvPicPr>
                  <pic:blipFill>
                    <a:blip r:embed="rId39"/>
                    <a:stretch>
                      <a:fillRect/>
                    </a:stretch>
                  </pic:blipFill>
                  <pic:spPr>
                    <a:xfrm>
                      <a:off x="0" y="0"/>
                      <a:ext cx="5486400" cy="4091553"/>
                    </a:xfrm>
                    <a:prstGeom prst="rect">
                      <a:avLst/>
                    </a:prstGeom>
                  </pic:spPr>
                </pic:pic>
              </a:graphicData>
            </a:graphic>
          </wp:anchor>
        </w:drawing>
      </w:r>
    </w:p>
    <w:p w14:paraId="2FBA37E4" w14:textId="77777777" w:rsidR="00161FE3" w:rsidRDefault="00000000">
      <w:pPr>
        <w:keepLines/>
        <w:spacing w:before="80" w:after="280"/>
        <w:jc w:val="center"/>
      </w:pPr>
      <w:r>
        <w:rPr>
          <w:b/>
        </w:rPr>
        <w:t>Figura 7.10a. Priorización de vigilancia activa: cada burbuja es una familia Pango, su tamaño representa el número de países donde se ha detectado y su posición vertical la probabilidad calibrada de alcanzar el umbral de dominancia.</w:t>
      </w:r>
    </w:p>
    <w:p w14:paraId="15FEEED0" w14:textId="77777777" w:rsidR="00161FE3" w:rsidRDefault="00000000">
      <w:pPr>
        <w:keepNext/>
        <w:spacing w:before="280" w:after="80"/>
        <w:jc w:val="center"/>
      </w:pPr>
      <w:r>
        <w:lastRenderedPageBreak/>
        <w:drawing>
          <wp:anchor distT="0" distB="0" distL="114300" distR="114300" simplePos="0" relativeHeight="251658269" behindDoc="0" locked="0" layoutInCell="1" allowOverlap="1" wp14:anchorId="53931C4A" wp14:editId="3ABB41E6">
            <wp:simplePos x="0" y="0"/>
            <wp:positionH relativeFrom="column">
              <wp:posOffset>196215</wp:posOffset>
            </wp:positionH>
            <wp:positionV relativeFrom="paragraph">
              <wp:posOffset>309880</wp:posOffset>
            </wp:positionV>
            <wp:extent cx="5486400" cy="4367561"/>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0b_top15fam.png"/>
                    <pic:cNvPicPr/>
                  </pic:nvPicPr>
                  <pic:blipFill>
                    <a:blip r:embed="rId40"/>
                    <a:stretch>
                      <a:fillRect/>
                    </a:stretch>
                  </pic:blipFill>
                  <pic:spPr>
                    <a:xfrm>
                      <a:off x="0" y="0"/>
                      <a:ext cx="5486400" cy="4367561"/>
                    </a:xfrm>
                    <a:prstGeom prst="rect">
                      <a:avLst/>
                    </a:prstGeom>
                  </pic:spPr>
                </pic:pic>
              </a:graphicData>
            </a:graphic>
          </wp:anchor>
        </w:drawing>
      </w:r>
    </w:p>
    <w:p w14:paraId="701C51E3" w14:textId="77777777" w:rsidR="00161FE3" w:rsidRDefault="00000000">
      <w:pPr>
        <w:keepLines/>
        <w:spacing w:before="80" w:after="280"/>
        <w:jc w:val="center"/>
      </w:pPr>
      <w:r>
        <w:rPr>
          <w:b/>
        </w:rPr>
        <w:t>Figura 7.10b. Priorización de vigilancia activa: top-15 familias Pango por probabilidad calibrada de emergencia, con su frecuencia actual y número de países.</w:t>
      </w:r>
    </w:p>
    <w:p w14:paraId="097E77BD" w14:textId="77777777" w:rsidR="00161FE3" w:rsidRDefault="00000000">
      <w:pPr>
        <w:keepNext/>
        <w:spacing w:before="280" w:after="80"/>
        <w:jc w:val="center"/>
      </w:pPr>
      <w:r>
        <w:lastRenderedPageBreak/>
        <w:drawing>
          <wp:anchor distT="0" distB="0" distL="114300" distR="114300" simplePos="0" relativeHeight="251658270" behindDoc="0" locked="0" layoutInCell="1" allowOverlap="1" wp14:anchorId="20EF3CA1" wp14:editId="313E9D4C">
            <wp:simplePos x="0" y="0"/>
            <wp:positionH relativeFrom="column">
              <wp:posOffset>177165</wp:posOffset>
            </wp:positionH>
            <wp:positionV relativeFrom="paragraph">
              <wp:posOffset>214630</wp:posOffset>
            </wp:positionV>
            <wp:extent cx="5486400" cy="4376456"/>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0c_top15mut.png"/>
                    <pic:cNvPicPr/>
                  </pic:nvPicPr>
                  <pic:blipFill>
                    <a:blip r:embed="rId41"/>
                    <a:stretch>
                      <a:fillRect/>
                    </a:stretch>
                  </pic:blipFill>
                  <pic:spPr>
                    <a:xfrm>
                      <a:off x="0" y="0"/>
                      <a:ext cx="5486400" cy="4376456"/>
                    </a:xfrm>
                    <a:prstGeom prst="rect">
                      <a:avLst/>
                    </a:prstGeom>
                  </pic:spPr>
                </pic:pic>
              </a:graphicData>
            </a:graphic>
          </wp:anchor>
        </w:drawing>
      </w:r>
    </w:p>
    <w:p w14:paraId="53C45451" w14:textId="77777777" w:rsidR="00161FE3" w:rsidRDefault="00000000">
      <w:pPr>
        <w:keepLines/>
        <w:spacing w:before="80" w:after="280"/>
        <w:jc w:val="center"/>
      </w:pPr>
      <w:r>
        <w:rPr>
          <w:b/>
        </w:rPr>
        <w:t>Figura 7.10c. Priorización de vigilancia activa: top-15 mutaciones Spike/NSP12 por probabilidad calibrada de emergencia (clasificador M3-SPNSP), marcando las que pertenecen al RBD. Las familias y mutaciones por encima del umbral HIGH son las prioritarias para vigilancia reforzada.</w:t>
      </w:r>
    </w:p>
    <w:p w14:paraId="2DE38C48" w14:textId="77777777" w:rsidR="00237D4B" w:rsidRPr="00FF276E" w:rsidRDefault="00E35FF3">
      <w:pPr>
        <w:keepNext/>
        <w:spacing w:before="280" w:after="80"/>
        <w:jc w:val="center"/>
      </w:pPr>
      <w:r w:rsidRPr="00FF276E">
        <w:lastRenderedPageBreak/>
        <w:drawing>
          <wp:anchor distT="0" distB="0" distL="0" distR="0" simplePos="0" relativeHeight="251658271" behindDoc="0" locked="0" layoutInCell="1" allowOverlap="1" wp14:anchorId="0584614A" wp14:editId="1BC0CCAE">
            <wp:simplePos x="0" y="0"/>
            <wp:positionH relativeFrom="column">
              <wp:posOffset>139065</wp:posOffset>
            </wp:positionH>
            <wp:positionV relativeFrom="paragraph">
              <wp:posOffset>252730</wp:posOffset>
            </wp:positionV>
            <wp:extent cx="5486400" cy="2964991"/>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_ranking_combinado.png"/>
                    <pic:cNvPicPr/>
                  </pic:nvPicPr>
                  <pic:blipFill>
                    <a:blip r:embed="rId42"/>
                    <a:stretch>
                      <a:fillRect/>
                    </a:stretch>
                  </pic:blipFill>
                  <pic:spPr>
                    <a:xfrm>
                      <a:off x="0" y="0"/>
                      <a:ext cx="5486400" cy="2964991"/>
                    </a:xfrm>
                    <a:prstGeom prst="rect">
                      <a:avLst/>
                    </a:prstGeom>
                  </pic:spPr>
                </pic:pic>
              </a:graphicData>
            </a:graphic>
          </wp:anchor>
        </w:drawing>
      </w:r>
    </w:p>
    <w:p w14:paraId="0D896C5E" w14:textId="77777777" w:rsidR="00237D4B" w:rsidRPr="00FF276E" w:rsidRDefault="002D022C">
      <w:pPr>
        <w:keepLines/>
        <w:spacing w:before="80" w:after="280"/>
        <w:jc w:val="center"/>
      </w:pPr>
      <w:r w:rsidRPr="00FF276E">
        <w:rPr>
          <w:b/>
        </w:rPr>
        <w:t>Figura 7.11. Priorización combinada: probabilidad de emergencia calibrada de LightGBM (eje horizontal) frente a las semanas estimadas hasta dominancia según el modelo Cox PH (eje vertical) para cada variante activa. Las variantes en la esquina superior derecha son las que el sistema considera más urgentes: alta probabilidad y poco tiempo hasta dominar.</w:t>
      </w:r>
    </w:p>
    <w:p w14:paraId="6C0F0D31" w14:textId="77777777" w:rsidR="00AE4C5F" w:rsidRPr="00FF276E" w:rsidRDefault="004503D7">
      <w:pPr>
        <w:jc w:val="both"/>
      </w:pPr>
      <w:r w:rsidRPr="00FF276E">
        <w:rPr>
          <w:rFonts w:hint="eastAsia"/>
        </w:rPr>
        <w:t xml:space="preserve">A nivel de mutación, 48 mutaciones de Spike/NSP12 alcanzan nivel HIGH. La mayoría son de frecuencia alta (63-95%) y representan el inventario ya consolidado de XFG y sus antecesores (JN.1 </w:t>
      </w:r>
      <w:r w:rsidRPr="00FF276E">
        <w:rPr>
          <w:rFonts w:hint="eastAsia"/>
        </w:rPr>
        <w:t>→</w:t>
      </w:r>
      <w:r w:rsidRPr="00FF276E">
        <w:rPr>
          <w:rFonts w:hint="eastAsia"/>
        </w:rPr>
        <w:t xml:space="preserve"> KP </w:t>
      </w:r>
      <w:r w:rsidRPr="00FF276E">
        <w:rPr>
          <w:rFonts w:hint="eastAsia"/>
        </w:rPr>
        <w:t>→</w:t>
      </w:r>
      <w:r w:rsidRPr="00FF276E">
        <w:rPr>
          <w:rFonts w:hint="eastAsia"/>
        </w:rPr>
        <w:t xml:space="preserve"> XFG), no alertas de emergencia. Solo unas pocas combinan fre</w:t>
      </w:r>
      <w:r w:rsidRPr="00FF276E">
        <w:t>cuencia baja con señal alta y presencia creciente en varias familias</w:t>
      </w:r>
      <w:r w:rsidR="00E03F46" w:rsidRPr="00E03F46">
        <w:rPr>
          <w:rFonts w:cs="Calibri"/>
        </w:rPr>
        <w:t>, como Spike_V445P (RBD). Esa combinación es el perfil de una amenaza emergente y el filtro operativo verdaderamente útil, más que</w:t>
      </w:r>
      <w:r w:rsidRPr="00FF276E">
        <w:t xml:space="preserve"> el nivel HIGH por sí solo.</w:t>
      </w:r>
    </w:p>
    <w:p w14:paraId="1879EFBD" w14:textId="77777777" w:rsidR="00AE4C5F" w:rsidRPr="00FF276E" w:rsidRDefault="00E35FF3">
      <w:pPr>
        <w:pStyle w:val="Ttulo2"/>
        <w:rPr>
          <w:color w:val="2E74B5"/>
        </w:rPr>
      </w:pPr>
      <w:bookmarkStart w:id="87" w:name="_Toc234787638"/>
      <w:bookmarkStart w:id="88" w:name="_Toc238464666"/>
      <w:r w:rsidRPr="00FF276E">
        <w:rPr>
          <w:color w:val="2E74B5"/>
        </w:rPr>
        <w:t>7.5. Replicador log-lineal con modulación ML (Módulo 7.1)</w:t>
      </w:r>
      <w:bookmarkEnd w:id="87"/>
      <w:bookmarkEnd w:id="88"/>
    </w:p>
    <w:p w14:paraId="18EEDE89" w14:textId="77777777" w:rsidR="00AE4C5F" w:rsidRPr="00FF276E" w:rsidRDefault="00E35FF3">
      <w:pPr>
        <w:pStyle w:val="Ttulo3"/>
        <w:rPr>
          <w:color w:val="4F81BD"/>
        </w:rPr>
      </w:pPr>
      <w:bookmarkStart w:id="89" w:name="_Toc234787639"/>
      <w:bookmarkStart w:id="90" w:name="_Toc238464667"/>
      <w:r w:rsidRPr="00FF276E">
        <w:rPr>
          <w:color w:val="4F81BD"/>
        </w:rPr>
        <w:t>7.5.1. Diseño del replicador</w:t>
      </w:r>
      <w:bookmarkEnd w:id="89"/>
      <w:bookmarkEnd w:id="90"/>
    </w:p>
    <w:p w14:paraId="1EDBDC14" w14:textId="77777777" w:rsidR="00AE4C5F" w:rsidRPr="00FF276E" w:rsidRDefault="00E35FF3">
      <w:pPr>
        <w:jc w:val="both"/>
      </w:pPr>
      <w:r w:rsidRPr="00FF276E">
        <w:t>El replicador log-lineal proyecta la frecuencia futura de cada familia asumiendo que la tasa de crecimiento log-lineal observada en las últimas 8 semanas se mantiene, con renormalización semanal para que las frecuencias sumen 1. Este modelo de referencia empírico tiene el problema de que trata igual a todas las variantes con la misma pendiente observada, independientemente de si tienen potencial de emergencia o no.</w:t>
      </w:r>
    </w:p>
    <w:p w14:paraId="7396A87B" w14:textId="77777777" w:rsidR="00AE4C5F" w:rsidRPr="00FF276E" w:rsidRDefault="00580635">
      <w:pPr>
        <w:jc w:val="both"/>
      </w:pPr>
      <w:r w:rsidRPr="00FF276E">
        <w:t xml:space="preserve">La integración de LightGBM en el replicador modula la tasa de crecimiento empírica de cada variante en ascenso por un peso proporcional a su posición relativa en la </w:t>
      </w:r>
      <w:r w:rsidRPr="006825B8">
        <w:rPr>
          <w:i/>
        </w:rPr>
        <w:t>priorización</w:t>
      </w:r>
      <w:r w:rsidRPr="00FF276E">
        <w:t xml:space="preserve"> del clasificador: la variante mejor situada conserva su tasa íntegra y la peor situada la ve reducida al 25%, con las intermedias escaladas linealmente entre ambos extremos. Las variantes en declive no se modulan; el ML solo actúa sobre las subidas.</w:t>
      </w:r>
    </w:p>
    <w:p w14:paraId="75CA5FE1" w14:textId="77777777" w:rsidR="00AE4C5F" w:rsidRPr="00FF276E" w:rsidRDefault="00580635">
      <w:pPr>
        <w:jc w:val="both"/>
      </w:pPr>
      <w:r w:rsidRPr="00FF276E">
        <w:lastRenderedPageBreak/>
        <w:t>La decisión de diseño clave es usar la posición relativa dentro del grupo de variantes en ascenso</w:t>
      </w:r>
      <w:r w:rsidR="002D0178">
        <w:t>+</w:t>
      </w:r>
      <w:r w:rsidRPr="00FF276E">
        <w:t xml:space="preserve">, y no la probabilidad bruta de LightGBM. Estas probabilidades no están calibradas </w:t>
      </w:r>
      <w:r w:rsidR="00E03F46" w:rsidRPr="00E03F46">
        <w:rPr>
          <w:rFonts w:cs="Calibri"/>
        </w:rPr>
        <w:t>(</w:t>
      </w:r>
      <w:r w:rsidRPr="00FF276E">
        <w:t>se concentran en torno a 0.30-0.49 por la compensación del desbalanceo</w:t>
      </w:r>
      <w:r w:rsidR="004A4B5E" w:rsidRPr="00E03F46">
        <w:rPr>
          <w:rFonts w:cs="Calibri"/>
        </w:rPr>
        <w:t>)</w:t>
      </w:r>
      <w:r w:rsidRPr="00FF276E">
        <w:t>, pero el AUC valida que el orden relativo es fiable. El sistema aprovecha así lo que el clasificador hace bien, ordenar a los aspirantes, y evita lo que hace mal, estimar probabilidades absolutas.</w:t>
      </w:r>
    </w:p>
    <w:p w14:paraId="6FCD3BD6" w14:textId="77777777" w:rsidR="00AE4C5F" w:rsidRPr="00FF276E" w:rsidRDefault="00E35FF3">
      <w:pPr>
        <w:pStyle w:val="Ttulo3"/>
        <w:rPr>
          <w:color w:val="4F81BD"/>
        </w:rPr>
      </w:pPr>
      <w:bookmarkStart w:id="91" w:name="_Toc234787640"/>
      <w:bookmarkStart w:id="92" w:name="_Toc238464668"/>
      <w:r w:rsidRPr="00FF276E">
        <w:rPr>
          <w:color w:val="4F81BD"/>
        </w:rPr>
        <w:t>7.5.2. Señal Cox como anotación de velocidad relativa</w:t>
      </w:r>
      <w:bookmarkEnd w:id="91"/>
      <w:bookmarkEnd w:id="92"/>
    </w:p>
    <w:p w14:paraId="2F7D7FBF" w14:textId="77777777" w:rsidR="00AE4C5F" w:rsidRPr="00FF276E" w:rsidRDefault="00E35FF3">
      <w:pPr>
        <w:jc w:val="both"/>
      </w:pPr>
      <w:r w:rsidRPr="00FF276E">
        <w:t>El modelo Cox PH contribuye al sistema de proyección como una anotación complementaria de velocidad de dominancia, no como modificador de la proyección de frecuencias. Para cada variante en ascenso activa, se calcula:</w:t>
      </w:r>
    </w:p>
    <w:p w14:paraId="7C9A97BA" w14:textId="77777777" w:rsidR="00AE4C5F" w:rsidRPr="00FF276E" w:rsidRDefault="00E35FF3">
      <w:pPr>
        <w:pStyle w:val="Listaconvietas"/>
        <w:jc w:val="both"/>
      </w:pPr>
      <w:r w:rsidRPr="00FF276E">
        <w:t xml:space="preserve">Hazard relativo (predict_partial_hazard): siempre finito, indica la velocidad relativa hacia la dominancia respecto a la media histórica. Se muestra como "Cox×" en la tabla de </w:t>
      </w:r>
      <w:r w:rsidRPr="006825B8">
        <w:t>variantes en ascenso</w:t>
      </w:r>
      <w:r w:rsidRPr="00FF276E">
        <w:t>.</w:t>
      </w:r>
    </w:p>
    <w:p w14:paraId="51BBB680" w14:textId="77777777" w:rsidR="00AE4C5F" w:rsidRPr="00FF276E" w:rsidRDefault="00E35FF3">
      <w:pPr>
        <w:pStyle w:val="Listaconvietas"/>
        <w:jc w:val="both"/>
      </w:pPr>
      <w:r w:rsidRPr="00FF276E">
        <w:t>ETA (semanas estimadas hasta el 10% global): disponible solo cuando la función de supervivencia predicha cruza el 50% dentro del horizonte de predicción. Con ~9% de tasa de eventos, muchas familias tienen ETA = n/d (la función de supervivencia no llega al 0.5 en el horizonte observado).</w:t>
      </w:r>
    </w:p>
    <w:p w14:paraId="29553720" w14:textId="77777777" w:rsidR="00AE4C5F" w:rsidRPr="00FF276E" w:rsidRDefault="00E35FF3">
      <w:pPr>
        <w:pStyle w:val="Ttulo3"/>
        <w:rPr>
          <w:color w:val="4F81BD"/>
        </w:rPr>
      </w:pPr>
      <w:bookmarkStart w:id="93" w:name="_Toc234787641"/>
      <w:bookmarkStart w:id="94" w:name="_Toc238464669"/>
      <w:r w:rsidRPr="00FF276E">
        <w:rPr>
          <w:color w:val="4F81BD"/>
        </w:rPr>
        <w:t>7.5.3. Resultados de la proyección (semana 2026-02-09)</w:t>
      </w:r>
      <w:bookmarkEnd w:id="93"/>
      <w:bookmarkEnd w:id="94"/>
    </w:p>
    <w:p w14:paraId="45308C4F" w14:textId="77777777" w:rsidR="00AE4C5F" w:rsidRPr="00FF276E" w:rsidRDefault="00E35FF3">
      <w:pPr>
        <w:jc w:val="both"/>
      </w:pPr>
      <w:r w:rsidRPr="00FF276E">
        <w:t>Las proyecciones desde el corte de datos (2026-02-09) hasta 20 semanas vista (junio 2026) muestran dos escenarios (</w:t>
      </w:r>
      <w:r w:rsidR="00490580" w:rsidRPr="00FF276E">
        <w:t>Tabla 7.8</w:t>
      </w:r>
      <w:r w:rsidRPr="00FF276E">
        <w:t xml:space="preserve">). Esta semana de corte es posterior a la usada en la </w:t>
      </w:r>
      <w:r w:rsidRPr="006825B8">
        <w:rPr>
          <w:i/>
        </w:rPr>
        <w:t>priorización</w:t>
      </w:r>
      <w:r w:rsidRPr="00FF276E">
        <w:t xml:space="preserve"> de vigilancia de 6.4 (2026-01-12): la </w:t>
      </w:r>
      <w:r w:rsidRPr="006825B8">
        <w:rPr>
          <w:i/>
        </w:rPr>
        <w:t>priorización</w:t>
      </w:r>
      <w:r w:rsidRPr="00FF276E">
        <w:t xml:space="preserve"> usa el conjunto de datos M2, que exige un mínimo de secuencias por semana para ser fiable como </w:t>
      </w:r>
      <w:r w:rsidRPr="006825B8">
        <w:t>conjunto de datos</w:t>
      </w:r>
      <w:r w:rsidRPr="00FF276E">
        <w:t xml:space="preserve"> de entrenamiento, mientras que la proyección forward usa la matriz de frecuencia agregada sin ese filtro, por lo que incorpora unas semanas más de datos aún no completas para la </w:t>
      </w:r>
      <w:r w:rsidRPr="006825B8">
        <w:rPr>
          <w:i/>
        </w:rPr>
        <w:t>priorización</w:t>
      </w:r>
      <w:r w:rsidRPr="00FF276E">
        <w:t>. Los escenarios son:</w:t>
      </w:r>
    </w:p>
    <w:p w14:paraId="728389B0" w14:textId="77777777" w:rsidR="00237D4B" w:rsidRPr="00FF276E" w:rsidRDefault="00490580">
      <w:pPr>
        <w:keepNext/>
        <w:spacing w:before="280" w:after="80"/>
        <w:jc w:val="center"/>
      </w:pPr>
      <w:r w:rsidRPr="00FF276E">
        <w:t>Tabla 7.8</w:t>
      </w:r>
      <w:r w:rsidR="00E35FF3" w:rsidRPr="00FF276E">
        <w:t>. Proyección ML-ajustada vs. modelo de referencia empírico por horizonte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55A59957" w14:textId="77777777">
        <w:trPr>
          <w:cantSplit/>
          <w:tblHeader/>
          <w:jc w:val="center"/>
        </w:trPr>
        <w:tc>
          <w:tcPr>
            <w:tcW w:w="3041" w:type="dxa"/>
            <w:shd w:val="clear" w:color="auto" w:fill="DCE6F1"/>
          </w:tcPr>
          <w:p w14:paraId="3B4620B8" w14:textId="77777777" w:rsidR="00237D4B" w:rsidRPr="00FF276E" w:rsidRDefault="00E35FF3">
            <w:r w:rsidRPr="00FF276E">
              <w:rPr>
                <w:b/>
              </w:rPr>
              <w:t>Horizonte</w:t>
            </w:r>
          </w:p>
        </w:tc>
        <w:tc>
          <w:tcPr>
            <w:tcW w:w="3041" w:type="dxa"/>
            <w:shd w:val="clear" w:color="auto" w:fill="DCE6F1"/>
          </w:tcPr>
          <w:p w14:paraId="0C620F62" w14:textId="77777777" w:rsidR="00237D4B" w:rsidRPr="00FF276E" w:rsidRDefault="00E35FF3">
            <w:r w:rsidRPr="00FF276E">
              <w:rPr>
                <w:b/>
              </w:rPr>
              <w:t>Proyección ML-ajustada</w:t>
            </w:r>
          </w:p>
        </w:tc>
        <w:tc>
          <w:tcPr>
            <w:tcW w:w="3041" w:type="dxa"/>
            <w:shd w:val="clear" w:color="auto" w:fill="DCE6F1"/>
          </w:tcPr>
          <w:p w14:paraId="28F4E298" w14:textId="77777777" w:rsidR="00237D4B" w:rsidRPr="00FF276E" w:rsidRDefault="00E35FF3">
            <w:r w:rsidRPr="00FF276E">
              <w:rPr>
                <w:b/>
              </w:rPr>
              <w:t>Proyección empírica baseline</w:t>
            </w:r>
          </w:p>
        </w:tc>
      </w:tr>
      <w:tr w:rsidR="00237D4B" w:rsidRPr="00FF276E" w14:paraId="658A7B0B" w14:textId="77777777">
        <w:trPr>
          <w:cantSplit/>
          <w:jc w:val="center"/>
        </w:trPr>
        <w:tc>
          <w:tcPr>
            <w:tcW w:w="3041" w:type="dxa"/>
          </w:tcPr>
          <w:p w14:paraId="4CF87A51" w14:textId="77777777" w:rsidR="00237D4B" w:rsidRPr="00FF276E" w:rsidRDefault="00E35FF3">
            <w:r w:rsidRPr="00FF276E">
              <w:t>+1 sem (Feb 2026)</w:t>
            </w:r>
          </w:p>
        </w:tc>
        <w:tc>
          <w:tcPr>
            <w:tcW w:w="3041" w:type="dxa"/>
          </w:tcPr>
          <w:p w14:paraId="73795BDA" w14:textId="77777777" w:rsidR="00237D4B" w:rsidRPr="00FF276E" w:rsidRDefault="00E35FF3">
            <w:r w:rsidRPr="00FF276E">
              <w:t>XFG 41.7%, NB 28%, LF 8%</w:t>
            </w:r>
          </w:p>
        </w:tc>
        <w:tc>
          <w:tcPr>
            <w:tcW w:w="3041" w:type="dxa"/>
          </w:tcPr>
          <w:p w14:paraId="11C59FA7" w14:textId="77777777" w:rsidR="00237D4B" w:rsidRPr="00FF276E" w:rsidRDefault="00E35FF3" w:rsidP="00733C44">
            <w:pPr>
              <w:jc w:val="both"/>
            </w:pPr>
            <w:r w:rsidRPr="00FF276E">
              <w:t>Momentum puro sin modulación aún relevante</w:t>
            </w:r>
          </w:p>
        </w:tc>
      </w:tr>
      <w:tr w:rsidR="00237D4B" w:rsidRPr="00FF276E" w14:paraId="3446CE93" w14:textId="77777777">
        <w:trPr>
          <w:cantSplit/>
          <w:jc w:val="center"/>
        </w:trPr>
        <w:tc>
          <w:tcPr>
            <w:tcW w:w="3041" w:type="dxa"/>
          </w:tcPr>
          <w:p w14:paraId="0C9F49BD" w14:textId="77777777" w:rsidR="00237D4B" w:rsidRPr="00FF276E" w:rsidRDefault="00E35FF3">
            <w:r w:rsidRPr="00FF276E">
              <w:t>+4 sem (Mar 2026)</w:t>
            </w:r>
          </w:p>
        </w:tc>
        <w:tc>
          <w:tcPr>
            <w:tcW w:w="3041" w:type="dxa"/>
          </w:tcPr>
          <w:p w14:paraId="55DC8AFC" w14:textId="77777777" w:rsidR="00237D4B" w:rsidRPr="00FF276E" w:rsidRDefault="00E35FF3">
            <w:r w:rsidRPr="00FF276E">
              <w:t>NB toma el relevo (33.7%); XFG 34%</w:t>
            </w:r>
          </w:p>
        </w:tc>
        <w:tc>
          <w:tcPr>
            <w:tcW w:w="3041" w:type="dxa"/>
          </w:tcPr>
          <w:p w14:paraId="08CCCFA6" w14:textId="77777777" w:rsidR="00237D4B" w:rsidRPr="00FF276E" w:rsidRDefault="00E35FF3">
            <w:r w:rsidRPr="00FF276E">
              <w:t xml:space="preserve">PY </w:t>
            </w:r>
            <w:r w:rsidRPr="006825B8">
              <w:rPr>
                <w:i/>
              </w:rPr>
              <w:t>runaway</w:t>
            </w:r>
            <w:r w:rsidRPr="00FF276E">
              <w:t xml:space="preserve"> espurio sin corrección ML</w:t>
            </w:r>
          </w:p>
        </w:tc>
      </w:tr>
      <w:tr w:rsidR="00237D4B" w:rsidRPr="00FF276E" w14:paraId="766E8E5A" w14:textId="77777777">
        <w:trPr>
          <w:cantSplit/>
          <w:jc w:val="center"/>
        </w:trPr>
        <w:tc>
          <w:tcPr>
            <w:tcW w:w="3041" w:type="dxa"/>
          </w:tcPr>
          <w:p w14:paraId="1B6FAAE1" w14:textId="77777777" w:rsidR="00237D4B" w:rsidRPr="00FF276E" w:rsidRDefault="00E35FF3">
            <w:r w:rsidRPr="00FF276E">
              <w:t>+8 sem (Abr 2026)</w:t>
            </w:r>
          </w:p>
        </w:tc>
        <w:tc>
          <w:tcPr>
            <w:tcW w:w="3041" w:type="dxa"/>
          </w:tcPr>
          <w:p w14:paraId="25FB4C89" w14:textId="77777777" w:rsidR="00237D4B" w:rsidRPr="00FF276E" w:rsidRDefault="00E35FF3">
            <w:r w:rsidRPr="00FF276E">
              <w:t>NB consolida (40.8%); XFG 24%</w:t>
            </w:r>
          </w:p>
        </w:tc>
        <w:tc>
          <w:tcPr>
            <w:tcW w:w="3041" w:type="dxa"/>
          </w:tcPr>
          <w:p w14:paraId="34B3F298" w14:textId="77777777" w:rsidR="00237D4B" w:rsidRPr="00FF276E" w:rsidRDefault="00E35FF3">
            <w:r w:rsidRPr="00FF276E">
              <w:t>PY sobreestimado sin corrección ML</w:t>
            </w:r>
          </w:p>
        </w:tc>
      </w:tr>
      <w:tr w:rsidR="00237D4B" w:rsidRPr="00FF276E" w14:paraId="1C18B71D" w14:textId="77777777">
        <w:trPr>
          <w:cantSplit/>
          <w:jc w:val="center"/>
        </w:trPr>
        <w:tc>
          <w:tcPr>
            <w:tcW w:w="3041" w:type="dxa"/>
          </w:tcPr>
          <w:p w14:paraId="0A580A6F" w14:textId="77777777" w:rsidR="00237D4B" w:rsidRPr="00FF276E" w:rsidRDefault="00E35FF3">
            <w:r w:rsidRPr="00FF276E">
              <w:t>+16 sem (Jun 2026)</w:t>
            </w:r>
          </w:p>
        </w:tc>
        <w:tc>
          <w:tcPr>
            <w:tcW w:w="3041" w:type="dxa"/>
          </w:tcPr>
          <w:p w14:paraId="6E9501FD" w14:textId="77777777" w:rsidR="00237D4B" w:rsidRPr="00FF276E" w:rsidRDefault="00E35FF3" w:rsidP="00733C44">
            <w:pPr>
              <w:jc w:val="both"/>
            </w:pPr>
            <w:r w:rsidRPr="00FF276E">
              <w:t>NB dominante claro (50.3%); XFC 13%, XFG 10%</w:t>
            </w:r>
          </w:p>
        </w:tc>
        <w:tc>
          <w:tcPr>
            <w:tcW w:w="3041" w:type="dxa"/>
          </w:tcPr>
          <w:p w14:paraId="657A338E" w14:textId="77777777" w:rsidR="00237D4B" w:rsidRPr="00FF276E" w:rsidRDefault="00E35FF3">
            <w:r w:rsidRPr="00FF276E">
              <w:t xml:space="preserve">PY </w:t>
            </w:r>
            <w:r w:rsidRPr="006825B8">
              <w:rPr>
                <w:i/>
              </w:rPr>
              <w:t>runaway</w:t>
            </w:r>
            <w:r w:rsidRPr="00FF276E">
              <w:t xml:space="preserve"> sostenido: claramente falso</w:t>
            </w:r>
          </w:p>
        </w:tc>
      </w:tr>
    </w:tbl>
    <w:p w14:paraId="7B3595EB" w14:textId="77777777" w:rsidR="00AE4C5F" w:rsidRPr="00FF276E" w:rsidRDefault="00AE4C5F">
      <w:pPr>
        <w:spacing w:before="280"/>
        <w:jc w:val="both"/>
      </w:pPr>
    </w:p>
    <w:p w14:paraId="51C55606" w14:textId="77777777" w:rsidR="00AE4C5F" w:rsidRPr="00FF276E" w:rsidRDefault="00E35FF3">
      <w:pPr>
        <w:jc w:val="both"/>
      </w:pPr>
      <w:r w:rsidRPr="00FF276E">
        <w:lastRenderedPageBreak/>
        <w:t xml:space="preserve">La tabla de </w:t>
      </w:r>
      <w:r w:rsidRPr="006825B8">
        <w:t>variantes en ascenso</w:t>
      </w:r>
      <w:r w:rsidRPr="00FF276E">
        <w:t xml:space="preserve"> generada por el sistema muestra, para cada familia en ascenso, la tasa empírica (s_emp), la tasa ajustada por ML (s_ML), la P(M2) cruda de LightGBM (por diseño, no calibrada, ver nota en 6.4), el delta porcentual de reducción de tasa y el hazard relativo de Cox. La modulación más notable en la proyección de febrero 2026 es sobre PY: con P(M2)=0.56, la más baja del grupo de </w:t>
      </w:r>
      <w:r w:rsidRPr="006825B8">
        <w:t>variantes</w:t>
      </w:r>
      <w:r w:rsidRPr="00FF276E">
        <w:t xml:space="preserve"> en ascenso, su tasa empírica de 0.400 se reduce a s_ML=0.100 (-75%), eliminando la proyección de PY como futuro dominante que generaba el modelo de referencia empírico.</w:t>
      </w:r>
    </w:p>
    <w:p w14:paraId="1A82158C" w14:textId="77777777" w:rsidR="00A138F6" w:rsidRPr="00FF276E" w:rsidRDefault="00E35FF3">
      <w:pPr>
        <w:jc w:val="both"/>
      </w:pPr>
      <w:r w:rsidRPr="00FF276E">
        <w:t>NB, con P(M2)=0.70 y un hazard relativo de Cox de 12.61x, mantiene en cambio una fracción mayor de su tasa empírica (s_emp=0.132 → s_ML=0.090, -32%) y termina liderando la proyección ML-ajustada a 16 semanas (</w:t>
      </w:r>
      <w:r w:rsidR="002D022C" w:rsidRPr="00FF276E">
        <w:t>Figura 7.12</w:t>
      </w:r>
      <w:r w:rsidRPr="00FF276E">
        <w:t xml:space="preserve">). Su perfil mutacional Spike/NSP12 </w:t>
      </w:r>
      <w:r w:rsidR="00752F80" w:rsidRPr="00FF276E">
        <w:t>proyectado incluye</w:t>
      </w:r>
      <w:r w:rsidRPr="00FF276E">
        <w:t xml:space="preserve"> dos mutaciones candidatas fuera de su perfil observado (Spike_V445P, Spike_N679R, ambas con P(M3-SPNSP)=0.97) que aún no forman parte del fondo compartido ni del perfil de NB, pero muestran probabilidad de fijación alta y tendencia ascendente.</w:t>
      </w:r>
    </w:p>
    <w:p w14:paraId="0B816EE2" w14:textId="77777777" w:rsidR="00AE4C5F" w:rsidRPr="00FF276E" w:rsidRDefault="00E35FF3">
      <w:pPr>
        <w:jc w:val="both"/>
      </w:pPr>
      <w:r w:rsidRPr="00FF276E">
        <w:br w:type="page"/>
      </w:r>
    </w:p>
    <w:p w14:paraId="7F879177" w14:textId="77777777" w:rsidR="00237D4B" w:rsidRPr="00FF276E" w:rsidRDefault="00E35FF3">
      <w:pPr>
        <w:keepNext/>
        <w:spacing w:before="280" w:after="80"/>
        <w:jc w:val="center"/>
      </w:pPr>
      <w:r w:rsidRPr="00FF276E">
        <w:lastRenderedPageBreak/>
        <w:drawing>
          <wp:anchor distT="0" distB="0" distL="0" distR="0" simplePos="0" relativeHeight="251658272" behindDoc="0" locked="0" layoutInCell="1" allowOverlap="1" wp14:anchorId="67B8C394" wp14:editId="5F6AEC4F">
            <wp:simplePos x="0" y="0"/>
            <wp:positionH relativeFrom="column">
              <wp:posOffset>153035</wp:posOffset>
            </wp:positionH>
            <wp:positionV relativeFrom="paragraph">
              <wp:posOffset>276225</wp:posOffset>
            </wp:positionV>
            <wp:extent cx="5486400" cy="189928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_proyeccion_forward.png"/>
                    <pic:cNvPicPr/>
                  </pic:nvPicPr>
                  <pic:blipFill>
                    <a:blip r:embed="rId43"/>
                    <a:stretch>
                      <a:fillRect/>
                    </a:stretch>
                  </pic:blipFill>
                  <pic:spPr>
                    <a:xfrm>
                      <a:off x="0" y="0"/>
                      <a:ext cx="5486400" cy="1899285"/>
                    </a:xfrm>
                    <a:prstGeom prst="rect">
                      <a:avLst/>
                    </a:prstGeom>
                  </pic:spPr>
                </pic:pic>
              </a:graphicData>
            </a:graphic>
          </wp:anchor>
        </w:drawing>
      </w:r>
    </w:p>
    <w:p w14:paraId="0EE4795F" w14:textId="77777777" w:rsidR="00237D4B" w:rsidRPr="00FF276E" w:rsidRDefault="002D022C">
      <w:pPr>
        <w:keepLines/>
        <w:spacing w:before="80" w:after="280"/>
        <w:jc w:val="center"/>
      </w:pPr>
      <w:r w:rsidRPr="00FF276E">
        <w:rPr>
          <w:b/>
        </w:rPr>
        <w:t>Figura 7.12. Proyección semanal de frecuencia de las variantes activas desde el corte de datos (línea sólida = histórico), comparando el escenario ajustado por LightGBM (línea discontinua) con el modelo de referencia puramente empírico (línea punteada). El modelo de referencia sobreestima el crecimiento de PY hasta un falso dominio futuro, un error que la modulación por LightGBM corrige.</w:t>
      </w:r>
    </w:p>
    <w:p w14:paraId="6E10DDCB" w14:textId="77777777" w:rsidR="00237D4B" w:rsidRPr="00FF276E" w:rsidRDefault="00E35FF3">
      <w:pPr>
        <w:pStyle w:val="Ttulo2"/>
        <w:rPr>
          <w:color w:val="2E74B5"/>
        </w:rPr>
      </w:pPr>
      <w:bookmarkStart w:id="95" w:name="_Toc234787642"/>
      <w:bookmarkStart w:id="96" w:name="_Toc238464670"/>
      <w:r w:rsidRPr="00FF276E">
        <w:rPr>
          <w:color w:val="2E74B5"/>
        </w:rPr>
        <w:t>7.6. Validación biológica con datos de secuenciación ultra-profunda (Módulo 6)</w:t>
      </w:r>
      <w:bookmarkEnd w:id="95"/>
      <w:bookmarkEnd w:id="96"/>
    </w:p>
    <w:p w14:paraId="18199C00" w14:textId="77777777" w:rsidR="00237D4B" w:rsidRPr="00FF276E" w:rsidRDefault="00E35FF3">
      <w:pPr>
        <w:pStyle w:val="Ttulo3"/>
        <w:rPr>
          <w:color w:val="4F81BD"/>
        </w:rPr>
      </w:pPr>
      <w:bookmarkStart w:id="97" w:name="_Toc234787643"/>
      <w:bookmarkStart w:id="98" w:name="_Toc238464671"/>
      <w:r w:rsidRPr="00FF276E">
        <w:rPr>
          <w:color w:val="4F81BD"/>
        </w:rPr>
        <w:t>7.6.1. Lead-time anticipatorio y distribución por ola pandémica</w:t>
      </w:r>
      <w:bookmarkEnd w:id="97"/>
      <w:bookmarkEnd w:id="98"/>
    </w:p>
    <w:p w14:paraId="29826B2B" w14:textId="77777777" w:rsidR="00237D4B" w:rsidRPr="00FF276E" w:rsidRDefault="00E35FF3">
      <w:pPr>
        <w:jc w:val="both"/>
      </w:pPr>
      <w:r w:rsidRPr="00FF276E">
        <w:t xml:space="preserve">El análisis de los 28 pacientes con datos de secuenciación ultra-profunda (deep amplicon sequencing COVIDSeq) aplica un filtro de especificidad mutacional (haplotipos que mapan a ≤2 clados discordantes) para excluir mutaciones homoplásicas que reaparecen en múltiples linajes a lo largo de años y no constituyen señal anticipatoria real. Bajo estos criterios se identifican 9 de los 28 pacientes (de las olas 2ª, 3ª/4ª y 5ª) con 12 pares paciente×clado válidos, y un </w:t>
      </w:r>
      <w:r w:rsidRPr="006825B8">
        <w:rPr>
          <w:i/>
        </w:rPr>
        <w:t>lead-time</w:t>
      </w:r>
      <w:r w:rsidRPr="00FF276E">
        <w:t xml:space="preserve"> mediano de 45 semanas (~10 meses, rango: 0.3-78 semanas, acotado a ≤18 meses para garantizar relevancia de alerta temprana).</w:t>
      </w:r>
    </w:p>
    <w:p w14:paraId="0B5608D2" w14:textId="77777777" w:rsidR="00A138F6" w:rsidRPr="00FF276E" w:rsidRDefault="008A4847">
      <w:pPr>
        <w:jc w:val="both"/>
      </w:pPr>
      <w:r w:rsidRPr="008A4847">
        <w:rPr>
          <w:rFonts w:cs="Calibri"/>
        </w:rPr>
        <w:t>Los clados Omicron anticipados (21K/BA.1, 22A/BA.4, 22C/BA.2.12.1, 22E/BQ.1) son coherentes</w:t>
      </w:r>
      <w:r w:rsidR="00E35FF3" w:rsidRPr="00FF276E">
        <w:t xml:space="preserve"> con que los pacientes de las olas 2ª-5ª ya portaban la firma mutacional de Omicron meses antes de su emergencia poblacional. </w:t>
      </w:r>
      <w:r w:rsidR="00634C34">
        <w:t xml:space="preserve">El filtro de especificidad retiene además algún clado pre-Omicron residual (21F/Iota, 21H/Mu), que no se interpreta como señal anticipatoria. </w:t>
      </w:r>
      <w:r w:rsidR="00E35FF3" w:rsidRPr="00FF276E">
        <w:t>Dado el tamaño muestral (n=28) y la resolución mensual de las fechas de emergencia, el resultado tiene carácter de prueba de concepto: establece la existencia y el orden de magnitud de la anticipación intra-hospedador, no una estimación estadística poblacional.</w:t>
      </w:r>
    </w:p>
    <w:p w14:paraId="7E9D1C9A" w14:textId="77777777" w:rsidR="00AE4C5F" w:rsidRPr="00FF276E" w:rsidRDefault="00E35FF3">
      <w:pPr>
        <w:pStyle w:val="Ttulo2"/>
        <w:rPr>
          <w:color w:val="2E74B5"/>
        </w:rPr>
      </w:pPr>
      <w:bookmarkStart w:id="99" w:name="_Toc234787645"/>
      <w:bookmarkStart w:id="100" w:name="_Toc238464672"/>
      <w:r w:rsidRPr="00FF276E">
        <w:rPr>
          <w:color w:val="2E74B5"/>
        </w:rPr>
        <w:t>7.7. Validación interna</w:t>
      </w:r>
      <w:bookmarkEnd w:id="99"/>
      <w:bookmarkEnd w:id="100"/>
    </w:p>
    <w:p w14:paraId="6C5F489D" w14:textId="77777777" w:rsidR="00AE4C5F" w:rsidRPr="00FF276E" w:rsidRDefault="00E35FF3">
      <w:pPr>
        <w:jc w:val="both"/>
      </w:pPr>
      <w:r w:rsidRPr="00FF276E">
        <w:t>La validación interna se realizó con múltiples esquemas complementarios para garantizar la robustez de los resultados frente al riesgo de sobreajuste temporal:</w:t>
      </w:r>
    </w:p>
    <w:p w14:paraId="1E7194DD" w14:textId="77777777" w:rsidR="00AE4C5F" w:rsidRPr="00FF276E" w:rsidRDefault="00E35FF3">
      <w:pPr>
        <w:pStyle w:val="Ttulo3"/>
        <w:rPr>
          <w:color w:val="4F81BD"/>
        </w:rPr>
      </w:pPr>
      <w:bookmarkStart w:id="101" w:name="_Toc234787646"/>
      <w:bookmarkStart w:id="102" w:name="_Toc238464673"/>
      <w:r w:rsidRPr="00FF276E">
        <w:rPr>
          <w:color w:val="4F81BD"/>
        </w:rPr>
        <w:lastRenderedPageBreak/>
        <w:t>7.7.1. Partición temporal fija (train &lt; 2023-06-01, test ≥ 2023-06-01)</w:t>
      </w:r>
      <w:bookmarkEnd w:id="101"/>
      <w:bookmarkEnd w:id="102"/>
    </w:p>
    <w:p w14:paraId="0668B66F" w14:textId="77777777" w:rsidR="00AE4C5F" w:rsidRPr="00FF276E" w:rsidRDefault="00A92B11">
      <w:pPr>
        <w:jc w:val="both"/>
      </w:pPr>
      <w:r w:rsidRPr="00FF276E">
        <w:t xml:space="preserve">La </w:t>
      </w:r>
      <w:r w:rsidRPr="006825B8">
        <w:rPr>
          <w:i/>
        </w:rPr>
        <w:t>partición</w:t>
      </w:r>
      <w:r w:rsidRPr="00FF276E">
        <w:t xml:space="preserve"> temporal fija estima el rendimiento en una partición única del tiempo (M2: AUC 0.886; M3-SPNSP: 0.925, en datos posteriores a junio de 2023). Su limitación es que depende del punto de corte elegido, de ahí que la </w:t>
      </w:r>
      <w:r w:rsidRPr="000E2107">
        <w:rPr>
          <w:i/>
        </w:rPr>
        <w:t>validación progresiva</w:t>
      </w:r>
      <w:r w:rsidRPr="00FF276E">
        <w:t xml:space="preserve"> (7.7.2) aporte la validación complementaria más fiable.</w:t>
      </w:r>
    </w:p>
    <w:p w14:paraId="7A2B731F" w14:textId="77777777" w:rsidR="00AE4C5F" w:rsidRPr="00FF276E" w:rsidRDefault="00E35FF3">
      <w:pPr>
        <w:pStyle w:val="Ttulo3"/>
        <w:rPr>
          <w:color w:val="4F81BD"/>
        </w:rPr>
      </w:pPr>
      <w:bookmarkStart w:id="103" w:name="_Toc234787647"/>
      <w:bookmarkStart w:id="104" w:name="_Toc238464674"/>
      <w:r w:rsidRPr="00FF276E">
        <w:rPr>
          <w:color w:val="4F81BD"/>
        </w:rPr>
        <w:t>7.7.2. Validación progresiva por épocas pandémicas (5 folds)</w:t>
      </w:r>
      <w:bookmarkEnd w:id="103"/>
      <w:bookmarkEnd w:id="104"/>
    </w:p>
    <w:p w14:paraId="6FEC724E" w14:textId="77777777" w:rsidR="00AE4C5F" w:rsidRPr="00FF276E" w:rsidRDefault="00E35FF3">
      <w:pPr>
        <w:jc w:val="both"/>
      </w:pPr>
      <w:r w:rsidRPr="00FF276E">
        <w:t xml:space="preserve">La </w:t>
      </w:r>
      <w:r w:rsidRPr="000E2107">
        <w:rPr>
          <w:i/>
        </w:rPr>
        <w:t>validación progresiva</w:t>
      </w:r>
      <w:r w:rsidRPr="00FF276E">
        <w:t xml:space="preserve"> (7.2.2) es la más robusta disponible para este tipo de datos: la diferencia consistentemente negativa frente a la </w:t>
      </w:r>
      <w:r w:rsidRPr="006825B8">
        <w:rPr>
          <w:i/>
        </w:rPr>
        <w:t>partición</w:t>
      </w:r>
      <w:r w:rsidRPr="00FF276E">
        <w:t xml:space="preserve"> en los cuatro </w:t>
      </w:r>
      <w:r w:rsidRPr="006825B8">
        <w:t>conjuntos de datos</w:t>
      </w:r>
      <w:r w:rsidRPr="00FF276E">
        <w:t xml:space="preserve"> evaluados y el rango de std (0.026-0.077) confirman que la metodología es libre de filtraciones, con M2 como el más estable tras su regularización final (8.1), con el std más bajo del grupo (0.0256).</w:t>
      </w:r>
    </w:p>
    <w:p w14:paraId="5CEA18E3" w14:textId="77777777" w:rsidR="00237D4B" w:rsidRPr="00FF276E" w:rsidRDefault="00E35FF3">
      <w:pPr>
        <w:pStyle w:val="Ttulo3"/>
        <w:rPr>
          <w:color w:val="4F81BD"/>
        </w:rPr>
      </w:pPr>
      <w:bookmarkStart w:id="105" w:name="_Toc234787648"/>
      <w:bookmarkStart w:id="106" w:name="_Toc238464675"/>
      <w:r w:rsidRPr="00FF276E">
        <w:rPr>
          <w:color w:val="4F81BD"/>
        </w:rPr>
        <w:t>7.7.3. Validación cruzada estratificada para M1: una trampa metodológica</w:t>
      </w:r>
      <w:bookmarkEnd w:id="105"/>
      <w:bookmarkEnd w:id="106"/>
    </w:p>
    <w:p w14:paraId="1BC9B4BA" w14:textId="77777777" w:rsidR="00237D4B" w:rsidRPr="00FF276E" w:rsidRDefault="00E35FF3">
      <w:pPr>
        <w:jc w:val="both"/>
      </w:pPr>
      <w:r w:rsidRPr="00FF276E">
        <w:t xml:space="preserve">M1 no admite </w:t>
      </w:r>
      <w:r w:rsidRPr="000E2107">
        <w:rPr>
          <w:i/>
        </w:rPr>
        <w:t>validación progresiva</w:t>
      </w:r>
      <w:r w:rsidRPr="00FF276E">
        <w:t xml:space="preserve"> por épocas pandémicas (524-701 filas de </w:t>
      </w:r>
      <w:r w:rsidRPr="002D0178">
        <w:rPr>
          <w:i/>
        </w:rPr>
        <w:t>test</w:t>
      </w:r>
      <w:r w:rsidRPr="00FF276E">
        <w:t xml:space="preserve">, insuficiente para 5 folds temporales con densidad razonable de eventos por fold). Como alternativa, se probó una validación cruzada estratificada de 5 folds (no temporal) sobre M1/M1-BIO/M1-SPNSP, esperando una validación adicional de la estabilidad del modelo. El resultado fue AUC~=0.998-0.9996 con std casi nula (0.0004-0.0016), muy por encima de la </w:t>
      </w:r>
      <w:r w:rsidRPr="006825B8">
        <w:rPr>
          <w:i/>
        </w:rPr>
        <w:t>partición</w:t>
      </w:r>
      <w:r w:rsidRPr="00FF276E">
        <w:t xml:space="preserve"> temporal (0.92-0.95), no por debajo.</w:t>
      </w:r>
    </w:p>
    <w:p w14:paraId="24270B81" w14:textId="77777777" w:rsidR="00237D4B" w:rsidRPr="00FF276E" w:rsidRDefault="00E35FF3">
      <w:pPr>
        <w:jc w:val="both"/>
      </w:pPr>
      <w:r w:rsidRPr="00FF276E">
        <w:t xml:space="preserve">Esto no </w:t>
      </w:r>
      <w:r w:rsidR="0051075A" w:rsidRPr="00FF276E">
        <w:rPr>
          <w:rFonts w:cs="Calibri"/>
        </w:rPr>
        <w:t>indica</w:t>
      </w:r>
      <w:r w:rsidRPr="00FF276E">
        <w:t xml:space="preserve"> estabilidad</w:t>
      </w:r>
      <w:r w:rsidR="00B032ED" w:rsidRPr="00FF276E">
        <w:rPr>
          <w:rFonts w:cs="Calibri"/>
        </w:rPr>
        <w:t xml:space="preserve"> del modelo, sino</w:t>
      </w:r>
      <w:r w:rsidRPr="00FF276E">
        <w:t xml:space="preserve"> la firma clásica de fuga de datos por entidad en datos de panel. El conjunto de datos M1 tiene una fila por (clado, semana); el 5-fold aleatorio (no temporal) deja semanas distintas del mismo clado repartidas entre </w:t>
      </w:r>
      <w:r w:rsidRPr="002D0178">
        <w:rPr>
          <w:i/>
        </w:rPr>
        <w:t>train</w:t>
      </w:r>
      <w:r w:rsidRPr="00FF276E">
        <w:t xml:space="preserve"> y </w:t>
      </w:r>
      <w:r w:rsidRPr="002D0178">
        <w:rPr>
          <w:i/>
        </w:rPr>
        <w:t>test</w:t>
      </w:r>
      <w:r w:rsidRPr="00FF276E">
        <w:t xml:space="preserve"> del mismo fold. peak_hist, con diferencia la </w:t>
      </w:r>
      <w:r w:rsidRPr="006825B8">
        <w:t>característica</w:t>
      </w:r>
      <w:r w:rsidRPr="00FF276E">
        <w:t xml:space="preserve"> de mayor peso SHAP en M1 (7.2.3), ya adelanta casi el desenlace final del clado, así que el modelo no necesita generalizar a clados nuevos para acertar: le basta con reconocer "este clado ya lo he visto, con otro peak_hist parecido, en otra semana". Conclusión: con esta muestra, el único número honesto para M1 sigue siendo el de la </w:t>
      </w:r>
      <w:r w:rsidRPr="006825B8">
        <w:rPr>
          <w:i/>
        </w:rPr>
        <w:t>partición</w:t>
      </w:r>
      <w:r w:rsidRPr="00FF276E">
        <w:t xml:space="preserve"> temporal única (7.7.1); no hay ninguna validación cruzada fiable disponible que lo sustituya.</w:t>
      </w:r>
    </w:p>
    <w:p w14:paraId="08F115BB" w14:textId="77777777" w:rsidR="00AE4C5F" w:rsidRPr="00FF276E" w:rsidRDefault="00E35FF3">
      <w:pPr>
        <w:pStyle w:val="Ttulo3"/>
        <w:rPr>
          <w:color w:val="4F81BD"/>
        </w:rPr>
      </w:pPr>
      <w:bookmarkStart w:id="107" w:name="_Toc234787649"/>
      <w:bookmarkStart w:id="108" w:name="_Toc238464676"/>
      <w:r w:rsidRPr="00FF276E">
        <w:rPr>
          <w:color w:val="4F81BD"/>
        </w:rPr>
        <w:t>7.7.4. Backtesting retrospectivo de transiciones de dominancia</w:t>
      </w:r>
      <w:bookmarkEnd w:id="107"/>
      <w:bookmarkEnd w:id="108"/>
    </w:p>
    <w:p w14:paraId="23DB4D73" w14:textId="77777777" w:rsidR="00AE4C5F" w:rsidRPr="00FF276E" w:rsidRDefault="00E35FF3">
      <w:pPr>
        <w:jc w:val="both"/>
      </w:pPr>
      <w:r w:rsidRPr="00FF276E">
        <w:t xml:space="preserve">Para cada transición de variante dominante documentada en el período 2021-2026, se verificó retroactivamente si la variante que dominó posteriormente estaba en el top de la </w:t>
      </w:r>
      <w:r w:rsidRPr="006825B8">
        <w:rPr>
          <w:i/>
        </w:rPr>
        <w:t>priorización</w:t>
      </w:r>
      <w:r w:rsidRPr="00FF276E">
        <w:t xml:space="preserve"> de vigilancia al menos 4 semanas antes de alcanzar el 10% (Tabla 7.9):</w:t>
      </w:r>
    </w:p>
    <w:p w14:paraId="2F36F631" w14:textId="77777777" w:rsidR="00237D4B" w:rsidRPr="00FF276E" w:rsidRDefault="00E35FF3">
      <w:pPr>
        <w:keepNext/>
        <w:spacing w:before="280" w:after="80"/>
        <w:jc w:val="center"/>
      </w:pPr>
      <w:r w:rsidRPr="00FF276E">
        <w:rPr>
          <w:b/>
        </w:rPr>
        <w:t>Tabla 7.9. Backtesting retrospectivo de transiciones de dominancia (2021-2026).</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8"/>
        <w:gridCol w:w="2278"/>
        <w:gridCol w:w="2278"/>
        <w:gridCol w:w="2278"/>
      </w:tblGrid>
      <w:tr w:rsidR="00AE4C5F" w:rsidRPr="00FF276E" w14:paraId="5D3B51C7" w14:textId="77777777">
        <w:trPr>
          <w:cantSplit/>
          <w:tblHeader/>
          <w:jc w:val="center"/>
        </w:trPr>
        <w:tc>
          <w:tcPr>
            <w:tcW w:w="2280" w:type="dxa"/>
            <w:shd w:val="clear" w:color="auto" w:fill="DCE6F1"/>
          </w:tcPr>
          <w:p w14:paraId="6A8F7F3A" w14:textId="77777777" w:rsidR="00AE4C5F" w:rsidRPr="00FF276E" w:rsidRDefault="00E35FF3">
            <w:pPr>
              <w:jc w:val="center"/>
            </w:pPr>
            <w:r w:rsidRPr="00FF276E">
              <w:rPr>
                <w:b/>
              </w:rPr>
              <w:t>Transición</w:t>
            </w:r>
          </w:p>
        </w:tc>
        <w:tc>
          <w:tcPr>
            <w:tcW w:w="2280" w:type="dxa"/>
            <w:shd w:val="clear" w:color="auto" w:fill="DCE6F1"/>
          </w:tcPr>
          <w:p w14:paraId="1E10D493" w14:textId="77777777" w:rsidR="00AE4C5F" w:rsidRPr="00FF276E" w:rsidRDefault="00E35FF3">
            <w:pPr>
              <w:jc w:val="center"/>
            </w:pPr>
            <w:r w:rsidRPr="00FF276E">
              <w:rPr>
                <w:b/>
              </w:rPr>
              <w:t>Semana dominancia</w:t>
            </w:r>
          </w:p>
        </w:tc>
        <w:tc>
          <w:tcPr>
            <w:tcW w:w="2280" w:type="dxa"/>
            <w:shd w:val="clear" w:color="auto" w:fill="DCE6F1"/>
          </w:tcPr>
          <w:p w14:paraId="06B7D297" w14:textId="77777777" w:rsidR="00AE4C5F" w:rsidRPr="00FF276E" w:rsidRDefault="00E35FF3">
            <w:pPr>
              <w:jc w:val="center"/>
            </w:pPr>
            <w:r w:rsidRPr="00FF276E">
              <w:rPr>
                <w:b/>
              </w:rPr>
              <w:t>Semanas de anticipación</w:t>
            </w:r>
          </w:p>
        </w:tc>
        <w:tc>
          <w:tcPr>
            <w:tcW w:w="2280" w:type="dxa"/>
            <w:shd w:val="clear" w:color="auto" w:fill="DCE6F1"/>
          </w:tcPr>
          <w:p w14:paraId="55168D65" w14:textId="77777777" w:rsidR="00AE4C5F" w:rsidRPr="00FF276E" w:rsidRDefault="00E35FF3">
            <w:pPr>
              <w:jc w:val="center"/>
            </w:pPr>
            <w:r w:rsidRPr="00FF276E">
              <w:rPr>
                <w:b/>
              </w:rPr>
              <w:t>Resultado</w:t>
            </w:r>
          </w:p>
        </w:tc>
      </w:tr>
      <w:tr w:rsidR="00AE4C5F" w:rsidRPr="00FF276E" w14:paraId="3184EBA4" w14:textId="77777777">
        <w:trPr>
          <w:cantSplit/>
          <w:jc w:val="center"/>
        </w:trPr>
        <w:tc>
          <w:tcPr>
            <w:tcW w:w="2280" w:type="dxa"/>
          </w:tcPr>
          <w:p w14:paraId="47BD2352" w14:textId="77777777" w:rsidR="00AE4C5F" w:rsidRPr="00FF276E" w:rsidRDefault="00E35FF3">
            <w:pPr>
              <w:jc w:val="center"/>
            </w:pPr>
            <w:r w:rsidRPr="00FF276E">
              <w:t>BA.2 → BA.4/5</w:t>
            </w:r>
          </w:p>
        </w:tc>
        <w:tc>
          <w:tcPr>
            <w:tcW w:w="2280" w:type="dxa"/>
          </w:tcPr>
          <w:p w14:paraId="3E00ED6F" w14:textId="77777777" w:rsidR="00AE4C5F" w:rsidRPr="00FF276E" w:rsidRDefault="00E35FF3">
            <w:pPr>
              <w:jc w:val="center"/>
            </w:pPr>
            <w:r w:rsidRPr="00FF276E">
              <w:t>2022-08</w:t>
            </w:r>
          </w:p>
        </w:tc>
        <w:tc>
          <w:tcPr>
            <w:tcW w:w="2280" w:type="dxa"/>
          </w:tcPr>
          <w:p w14:paraId="44A1A3B3" w14:textId="77777777" w:rsidR="00AE4C5F" w:rsidRPr="00FF276E" w:rsidRDefault="00E35FF3">
            <w:pPr>
              <w:jc w:val="center"/>
            </w:pPr>
            <w:r w:rsidRPr="00FF276E">
              <w:t>6 semanas</w:t>
            </w:r>
          </w:p>
        </w:tc>
        <w:tc>
          <w:tcPr>
            <w:tcW w:w="2280" w:type="dxa"/>
          </w:tcPr>
          <w:p w14:paraId="0811E4D8" w14:textId="77777777" w:rsidR="00AE4C5F" w:rsidRPr="00FF276E" w:rsidRDefault="00E35FF3">
            <w:pPr>
              <w:jc w:val="center"/>
            </w:pPr>
            <w:r w:rsidRPr="00FF276E">
              <w:t xml:space="preserve">BA.4/5 en top-3 de la </w:t>
            </w:r>
            <w:r w:rsidRPr="006825B8">
              <w:rPr>
                <w:i/>
              </w:rPr>
              <w:t>priorización</w:t>
            </w:r>
          </w:p>
        </w:tc>
      </w:tr>
      <w:tr w:rsidR="00AE4C5F" w:rsidRPr="00FF276E" w14:paraId="091A6B03" w14:textId="77777777">
        <w:trPr>
          <w:cantSplit/>
          <w:jc w:val="center"/>
        </w:trPr>
        <w:tc>
          <w:tcPr>
            <w:tcW w:w="2280" w:type="dxa"/>
          </w:tcPr>
          <w:p w14:paraId="5350BCC2" w14:textId="77777777" w:rsidR="00AE4C5F" w:rsidRPr="00FF276E" w:rsidRDefault="00E35FF3">
            <w:pPr>
              <w:jc w:val="center"/>
            </w:pPr>
            <w:r w:rsidRPr="00FF276E">
              <w:lastRenderedPageBreak/>
              <w:t>BA.4/5 → XBB.1.5</w:t>
            </w:r>
          </w:p>
        </w:tc>
        <w:tc>
          <w:tcPr>
            <w:tcW w:w="2280" w:type="dxa"/>
          </w:tcPr>
          <w:p w14:paraId="5B663192" w14:textId="77777777" w:rsidR="00AE4C5F" w:rsidRPr="00FF276E" w:rsidRDefault="00E35FF3">
            <w:pPr>
              <w:jc w:val="center"/>
            </w:pPr>
            <w:r w:rsidRPr="00FF276E">
              <w:t>2022-12</w:t>
            </w:r>
          </w:p>
        </w:tc>
        <w:tc>
          <w:tcPr>
            <w:tcW w:w="2280" w:type="dxa"/>
          </w:tcPr>
          <w:p w14:paraId="7A8898BC" w14:textId="77777777" w:rsidR="00AE4C5F" w:rsidRPr="00FF276E" w:rsidRDefault="00E35FF3">
            <w:pPr>
              <w:jc w:val="center"/>
            </w:pPr>
            <w:r w:rsidRPr="00FF276E">
              <w:t>5 semanas</w:t>
            </w:r>
          </w:p>
        </w:tc>
        <w:tc>
          <w:tcPr>
            <w:tcW w:w="2280" w:type="dxa"/>
          </w:tcPr>
          <w:p w14:paraId="6558574F" w14:textId="77777777" w:rsidR="00AE4C5F" w:rsidRPr="00FF276E" w:rsidRDefault="00E35FF3">
            <w:pPr>
              <w:jc w:val="center"/>
            </w:pPr>
            <w:r w:rsidRPr="00FF276E">
              <w:t xml:space="preserve">XBB.1.5 en top-2 de la </w:t>
            </w:r>
            <w:r w:rsidRPr="006825B8">
              <w:rPr>
                <w:i/>
              </w:rPr>
              <w:t>priorización</w:t>
            </w:r>
          </w:p>
        </w:tc>
      </w:tr>
      <w:tr w:rsidR="00AE4C5F" w:rsidRPr="00FF276E" w14:paraId="43BF0078" w14:textId="77777777">
        <w:trPr>
          <w:cantSplit/>
          <w:jc w:val="center"/>
        </w:trPr>
        <w:tc>
          <w:tcPr>
            <w:tcW w:w="2280" w:type="dxa"/>
          </w:tcPr>
          <w:p w14:paraId="5588087D" w14:textId="77777777" w:rsidR="00AE4C5F" w:rsidRPr="00FF276E" w:rsidRDefault="00E35FF3">
            <w:pPr>
              <w:jc w:val="center"/>
            </w:pPr>
            <w:r w:rsidRPr="00FF276E">
              <w:t>XBB.1.5 → EG.5</w:t>
            </w:r>
          </w:p>
        </w:tc>
        <w:tc>
          <w:tcPr>
            <w:tcW w:w="2280" w:type="dxa"/>
          </w:tcPr>
          <w:p w14:paraId="5EBA784D" w14:textId="77777777" w:rsidR="00AE4C5F" w:rsidRPr="00FF276E" w:rsidRDefault="00E35FF3">
            <w:pPr>
              <w:jc w:val="center"/>
            </w:pPr>
            <w:r w:rsidRPr="00FF276E">
              <w:t>2023-08</w:t>
            </w:r>
          </w:p>
        </w:tc>
        <w:tc>
          <w:tcPr>
            <w:tcW w:w="2280" w:type="dxa"/>
          </w:tcPr>
          <w:p w14:paraId="32A61A75" w14:textId="77777777" w:rsidR="00AE4C5F" w:rsidRPr="00FF276E" w:rsidRDefault="00E35FF3">
            <w:pPr>
              <w:jc w:val="center"/>
            </w:pPr>
            <w:r w:rsidRPr="00FF276E">
              <w:t>4 semanas</w:t>
            </w:r>
          </w:p>
        </w:tc>
        <w:tc>
          <w:tcPr>
            <w:tcW w:w="2280" w:type="dxa"/>
          </w:tcPr>
          <w:p w14:paraId="2951D757" w14:textId="77777777" w:rsidR="00AE4C5F" w:rsidRPr="00FF276E" w:rsidRDefault="00E35FF3">
            <w:pPr>
              <w:jc w:val="center"/>
            </w:pPr>
            <w:r w:rsidRPr="00FF276E">
              <w:t xml:space="preserve">EG.5 en top-3 de la </w:t>
            </w:r>
            <w:r w:rsidRPr="006825B8">
              <w:rPr>
                <w:i/>
              </w:rPr>
              <w:t>priorización</w:t>
            </w:r>
          </w:p>
        </w:tc>
      </w:tr>
      <w:tr w:rsidR="00AE4C5F" w:rsidRPr="00FF276E" w14:paraId="5E4E4B04" w14:textId="77777777">
        <w:trPr>
          <w:cantSplit/>
          <w:jc w:val="center"/>
        </w:trPr>
        <w:tc>
          <w:tcPr>
            <w:tcW w:w="2280" w:type="dxa"/>
          </w:tcPr>
          <w:p w14:paraId="1181C999" w14:textId="77777777" w:rsidR="00AE4C5F" w:rsidRPr="00FF276E" w:rsidRDefault="00E35FF3">
            <w:pPr>
              <w:jc w:val="center"/>
            </w:pPr>
            <w:r w:rsidRPr="00FF276E">
              <w:t>EG.5 → JN.1</w:t>
            </w:r>
          </w:p>
        </w:tc>
        <w:tc>
          <w:tcPr>
            <w:tcW w:w="2280" w:type="dxa"/>
          </w:tcPr>
          <w:p w14:paraId="3B1FA96E" w14:textId="77777777" w:rsidR="00AE4C5F" w:rsidRPr="00FF276E" w:rsidRDefault="00E35FF3">
            <w:pPr>
              <w:jc w:val="center"/>
            </w:pPr>
            <w:r w:rsidRPr="00FF276E">
              <w:t>2023-12</w:t>
            </w:r>
          </w:p>
        </w:tc>
        <w:tc>
          <w:tcPr>
            <w:tcW w:w="2280" w:type="dxa"/>
          </w:tcPr>
          <w:p w14:paraId="48B3B94D" w14:textId="77777777" w:rsidR="00AE4C5F" w:rsidRPr="00FF276E" w:rsidRDefault="00E35FF3">
            <w:pPr>
              <w:jc w:val="center"/>
            </w:pPr>
            <w:r w:rsidRPr="00FF276E">
              <w:t>8 semanas</w:t>
            </w:r>
          </w:p>
        </w:tc>
        <w:tc>
          <w:tcPr>
            <w:tcW w:w="2280" w:type="dxa"/>
          </w:tcPr>
          <w:p w14:paraId="31D89EBB" w14:textId="77777777" w:rsidR="00AE4C5F" w:rsidRPr="00FF276E" w:rsidRDefault="00E35FF3">
            <w:pPr>
              <w:jc w:val="center"/>
            </w:pPr>
            <w:r w:rsidRPr="00FF276E">
              <w:t>JN.1 detectado con señal MEDIUM</w:t>
            </w:r>
          </w:p>
        </w:tc>
      </w:tr>
      <w:tr w:rsidR="00AE4C5F" w:rsidRPr="00FF276E" w14:paraId="13E0AAA7" w14:textId="77777777">
        <w:trPr>
          <w:cantSplit/>
          <w:jc w:val="center"/>
        </w:trPr>
        <w:tc>
          <w:tcPr>
            <w:tcW w:w="2280" w:type="dxa"/>
          </w:tcPr>
          <w:p w14:paraId="7CA0C58C" w14:textId="77777777" w:rsidR="00AE4C5F" w:rsidRPr="00FF276E" w:rsidRDefault="00E35FF3">
            <w:pPr>
              <w:jc w:val="center"/>
            </w:pPr>
            <w:r w:rsidRPr="00FF276E">
              <w:t>KP.3 → XFG</w:t>
            </w:r>
          </w:p>
        </w:tc>
        <w:tc>
          <w:tcPr>
            <w:tcW w:w="2280" w:type="dxa"/>
          </w:tcPr>
          <w:p w14:paraId="3EC777AE" w14:textId="77777777" w:rsidR="00AE4C5F" w:rsidRPr="00FF276E" w:rsidRDefault="00E35FF3">
            <w:pPr>
              <w:jc w:val="center"/>
            </w:pPr>
            <w:r w:rsidRPr="00FF276E">
              <w:t>2025-06</w:t>
            </w:r>
          </w:p>
        </w:tc>
        <w:tc>
          <w:tcPr>
            <w:tcW w:w="2280" w:type="dxa"/>
          </w:tcPr>
          <w:p w14:paraId="054736BD" w14:textId="77777777" w:rsidR="00AE4C5F" w:rsidRPr="00FF276E" w:rsidRDefault="00E35FF3">
            <w:pPr>
              <w:jc w:val="center"/>
            </w:pPr>
            <w:r w:rsidRPr="00FF276E">
              <w:t>6 semanas</w:t>
            </w:r>
          </w:p>
        </w:tc>
        <w:tc>
          <w:tcPr>
            <w:tcW w:w="2280" w:type="dxa"/>
          </w:tcPr>
          <w:p w14:paraId="180BB30D" w14:textId="77777777" w:rsidR="00AE4C5F" w:rsidRPr="00FF276E" w:rsidRDefault="00E35FF3">
            <w:pPr>
              <w:jc w:val="center"/>
            </w:pPr>
            <w:r w:rsidRPr="00FF276E">
              <w:t>XFG en top-2, señal MEDIUM clara</w:t>
            </w:r>
          </w:p>
        </w:tc>
      </w:tr>
    </w:tbl>
    <w:p w14:paraId="63CE20A2" w14:textId="77777777" w:rsidR="00AE4C5F" w:rsidRPr="00FF276E" w:rsidRDefault="00E35FF3">
      <w:pPr>
        <w:jc w:val="both"/>
      </w:pPr>
      <w:r w:rsidRPr="00FF276E">
        <w:t xml:space="preserve">En todas las transiciones documentadas, la variante que dominó posteriormente aparecía en el top-3 de la </w:t>
      </w:r>
      <w:r w:rsidRPr="006825B8">
        <w:rPr>
          <w:i/>
        </w:rPr>
        <w:t>priorización</w:t>
      </w:r>
      <w:r w:rsidRPr="00FF276E">
        <w:t xml:space="preserve"> de vigilancia al menos 4 semanas antes. Este </w:t>
      </w:r>
      <w:r w:rsidRPr="006825B8">
        <w:rPr>
          <w:i/>
        </w:rPr>
        <w:t>backtesting</w:t>
      </w:r>
      <w:r w:rsidRPr="00FF276E">
        <w:t xml:space="preserve"> retrospectivo no es un sustituto de la validación prospectiva (el modelo conoce el pasado completo en el momento del </w:t>
      </w:r>
      <w:r w:rsidRPr="006825B8">
        <w:rPr>
          <w:i/>
        </w:rPr>
        <w:t>backtesting</w:t>
      </w:r>
      <w:r w:rsidRPr="00FF276E">
        <w:t>), pero confirma que el sistema habría generado las alertas correctas históricamente.</w:t>
      </w:r>
    </w:p>
    <w:p w14:paraId="75C6CEB3" w14:textId="77777777" w:rsidR="00AE4C5F" w:rsidRPr="00FF276E" w:rsidRDefault="00E35FF3">
      <w:pPr>
        <w:pStyle w:val="Ttulo2"/>
        <w:rPr>
          <w:color w:val="2E74B5"/>
        </w:rPr>
      </w:pPr>
      <w:bookmarkStart w:id="109" w:name="_Toc234787650"/>
      <w:bookmarkStart w:id="110" w:name="_Toc238464677"/>
      <w:r w:rsidRPr="00FF276E">
        <w:rPr>
          <w:color w:val="2E74B5"/>
        </w:rPr>
        <w:t>7.8. Validación externa prospectiva (junio 2026)</w:t>
      </w:r>
      <w:bookmarkEnd w:id="109"/>
      <w:bookmarkEnd w:id="110"/>
    </w:p>
    <w:p w14:paraId="66F49FC9" w14:textId="77777777" w:rsidR="00AE4C5F" w:rsidRPr="00FF276E" w:rsidRDefault="00E35FF3">
      <w:pPr>
        <w:jc w:val="both"/>
      </w:pPr>
      <w:r w:rsidRPr="00FF276E">
        <w:t>La validación externa prospectiva es la prueba más rigurosa disponible: el sistema genera predicciones sobre semanas que aún no habían ocurrido en el momento del corte de datos, y se comparan con los datos reales publicados a junio de 2026. Las fuentes utilizadas son:</w:t>
      </w:r>
    </w:p>
    <w:p w14:paraId="51A2DE7A" w14:textId="77777777" w:rsidR="00AE4C5F" w:rsidRPr="00FF276E" w:rsidRDefault="00E35FF3">
      <w:pPr>
        <w:pStyle w:val="Listaconvietas"/>
        <w:jc w:val="both"/>
      </w:pPr>
      <w:r w:rsidRPr="00FF276E">
        <w:t xml:space="preserve">ECDC </w:t>
      </w:r>
      <w:hyperlink w:anchor="ref48" w:history="1">
        <w:r>
          <w:rPr>
            <w:rStyle w:val="Hipervnculo"/>
          </w:rPr>
          <w:t>[48]</w:t>
        </w:r>
      </w:hyperlink>
      <w:r w:rsidRPr="00FF276E">
        <w:t>, Threat Assessment Brief (mayo 2026): XFG designada VUM.</w:t>
      </w:r>
    </w:p>
    <w:p w14:paraId="703DBCD8" w14:textId="77777777" w:rsidR="00AE4C5F" w:rsidRPr="00FF276E" w:rsidRDefault="00E35FF3">
      <w:pPr>
        <w:pStyle w:val="Listaconvietas"/>
        <w:jc w:val="both"/>
      </w:pPr>
      <w:r w:rsidRPr="00FF276E">
        <w:t xml:space="preserve">Roemer et al. </w:t>
      </w:r>
      <w:hyperlink w:anchor="ref49" w:history="1">
        <w:r>
          <w:rPr>
            <w:rStyle w:val="Hipervnculo"/>
          </w:rPr>
          <w:t>[49]</w:t>
        </w:r>
      </w:hyperlink>
      <w:r w:rsidRPr="00FF276E">
        <w:t>, neherlab/SARS-CoV-2_variant-reports (abril 2026): emergencia de BA.3.2.2.</w:t>
      </w:r>
    </w:p>
    <w:p w14:paraId="0B829219" w14:textId="77777777" w:rsidR="00AE4C5F" w:rsidRPr="00FF276E" w:rsidRDefault="00E35FF3">
      <w:pPr>
        <w:pStyle w:val="Listaconvietas"/>
        <w:jc w:val="both"/>
      </w:pPr>
      <w:r w:rsidRPr="00FF276E">
        <w:t xml:space="preserve">Public Health Ontario </w:t>
      </w:r>
      <w:hyperlink w:anchor="ref50" w:history="1">
        <w:r>
          <w:rPr>
            <w:rStyle w:val="Hipervnculo"/>
          </w:rPr>
          <w:t>[50]</w:t>
        </w:r>
      </w:hyperlink>
      <w:r w:rsidRPr="00FF276E">
        <w:t>, Genomic Surveillance (mayo 2026): PQ.2.8.1 al 27% en Ontario.</w:t>
      </w:r>
    </w:p>
    <w:p w14:paraId="2B2B84A7" w14:textId="77777777" w:rsidR="00AE4C5F" w:rsidRPr="00FF276E" w:rsidRDefault="00E35FF3">
      <w:pPr>
        <w:pStyle w:val="Listaconvietas"/>
        <w:jc w:val="both"/>
      </w:pPr>
      <w:r w:rsidRPr="00FF276E">
        <w:t>covSPECTRUM/GISAID (junio 2026): frecuencias globales semanales.</w:t>
      </w:r>
    </w:p>
    <w:p w14:paraId="3F8CBDA7" w14:textId="77777777" w:rsidR="00AE4C5F" w:rsidRPr="00FF276E" w:rsidRDefault="00E35FF3">
      <w:pPr>
        <w:pStyle w:val="Listaconvietas"/>
        <w:jc w:val="both"/>
      </w:pPr>
      <w:r w:rsidRPr="00FF276E">
        <w:t xml:space="preserve">WHO </w:t>
      </w:r>
      <w:hyperlink w:anchor="ref51" w:history="1">
        <w:r>
          <w:rPr>
            <w:rStyle w:val="Hipervnculo"/>
          </w:rPr>
          <w:t>[51]</w:t>
        </w:r>
      </w:hyperlink>
      <w:r w:rsidRPr="00FF276E">
        <w:t>, TAG-VE reports, para contexto de las clasificaciones.</w:t>
      </w:r>
    </w:p>
    <w:p w14:paraId="15549859" w14:textId="77777777" w:rsidR="00AE4C5F" w:rsidRPr="00FF276E" w:rsidRDefault="00E35FF3">
      <w:pPr>
        <w:jc w:val="both"/>
      </w:pPr>
      <w:r w:rsidRPr="00FF276E">
        <w:t>Resultados de la validación externa por horizonte de predicción (Tabla 7.10):</w:t>
      </w:r>
    </w:p>
    <w:p w14:paraId="6965384A" w14:textId="77777777" w:rsidR="00237D4B" w:rsidRPr="00FF276E" w:rsidRDefault="00E35FF3">
      <w:pPr>
        <w:keepNext/>
        <w:spacing w:before="280" w:after="80"/>
        <w:jc w:val="center"/>
      </w:pPr>
      <w:r w:rsidRPr="00FF276E">
        <w:rPr>
          <w:b/>
        </w:rPr>
        <w:t>Tabla 7.10. Resultados de la validación externa prospectiva por horizonte.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193"/>
        <w:gridCol w:w="2199"/>
        <w:gridCol w:w="2528"/>
        <w:gridCol w:w="2192"/>
      </w:tblGrid>
      <w:tr w:rsidR="00AE4C5F" w:rsidRPr="00FF276E" w14:paraId="07F1884F" w14:textId="77777777">
        <w:trPr>
          <w:cantSplit/>
          <w:tblHeader/>
          <w:jc w:val="center"/>
        </w:trPr>
        <w:tc>
          <w:tcPr>
            <w:tcW w:w="2280" w:type="dxa"/>
            <w:shd w:val="clear" w:color="auto" w:fill="DCE6F1"/>
          </w:tcPr>
          <w:p w14:paraId="6B2D644B" w14:textId="77777777" w:rsidR="00237D4B" w:rsidRPr="00FF276E" w:rsidRDefault="00E35FF3">
            <w:r w:rsidRPr="00FF276E">
              <w:rPr>
                <w:b/>
              </w:rPr>
              <w:t>Horizonte</w:t>
            </w:r>
          </w:p>
        </w:tc>
        <w:tc>
          <w:tcPr>
            <w:tcW w:w="2280" w:type="dxa"/>
            <w:shd w:val="clear" w:color="auto" w:fill="DCE6F1"/>
          </w:tcPr>
          <w:p w14:paraId="476D8349" w14:textId="77777777" w:rsidR="00237D4B" w:rsidRPr="00FF276E" w:rsidRDefault="00E35FF3">
            <w:r w:rsidRPr="00FF276E">
              <w:rPr>
                <w:b/>
              </w:rPr>
              <w:t>Predicción ML</w:t>
            </w:r>
          </w:p>
        </w:tc>
        <w:tc>
          <w:tcPr>
            <w:tcW w:w="2280" w:type="dxa"/>
            <w:shd w:val="clear" w:color="auto" w:fill="DCE6F1"/>
          </w:tcPr>
          <w:p w14:paraId="4F52730B" w14:textId="77777777" w:rsidR="00237D4B" w:rsidRPr="00FF276E" w:rsidRDefault="00E35FF3">
            <w:r w:rsidRPr="00FF276E">
              <w:rPr>
                <w:b/>
              </w:rPr>
              <w:t>Realidad observada</w:t>
            </w:r>
          </w:p>
        </w:tc>
        <w:tc>
          <w:tcPr>
            <w:tcW w:w="2280" w:type="dxa"/>
            <w:shd w:val="clear" w:color="auto" w:fill="DCE6F1"/>
          </w:tcPr>
          <w:p w14:paraId="29143993" w14:textId="77777777" w:rsidR="00237D4B" w:rsidRPr="00FF276E" w:rsidRDefault="00E35FF3">
            <w:r w:rsidRPr="00FF276E">
              <w:rPr>
                <w:b/>
              </w:rPr>
              <w:t>Veredicto</w:t>
            </w:r>
          </w:p>
        </w:tc>
      </w:tr>
      <w:tr w:rsidR="00237D4B" w:rsidRPr="00FF276E" w14:paraId="6430F7CE" w14:textId="77777777">
        <w:trPr>
          <w:cantSplit/>
          <w:jc w:val="center"/>
        </w:trPr>
        <w:tc>
          <w:tcPr>
            <w:tcW w:w="2246" w:type="dxa"/>
          </w:tcPr>
          <w:p w14:paraId="5806F240" w14:textId="77777777" w:rsidR="00237D4B" w:rsidRPr="00FF276E" w:rsidRDefault="00E35FF3">
            <w:r w:rsidRPr="00FF276E">
              <w:t>+1 sem (Feb 2026)</w:t>
            </w:r>
          </w:p>
        </w:tc>
        <w:tc>
          <w:tcPr>
            <w:tcW w:w="2248" w:type="dxa"/>
          </w:tcPr>
          <w:p w14:paraId="1D8859E5" w14:textId="77777777" w:rsidR="00237D4B" w:rsidRPr="00FF276E" w:rsidRDefault="00E35FF3">
            <w:r w:rsidRPr="00FF276E">
              <w:t>XFG dominante (41.7%)</w:t>
            </w:r>
          </w:p>
        </w:tc>
        <w:tc>
          <w:tcPr>
            <w:tcW w:w="2598" w:type="dxa"/>
          </w:tcPr>
          <w:p w14:paraId="12ED5519" w14:textId="77777777" w:rsidR="00237D4B" w:rsidRPr="00FF276E" w:rsidRDefault="00E35FF3">
            <w:r w:rsidRPr="00FF276E">
              <w:t>XFG dominante global (ECDC/WHO VUM)</w:t>
            </w:r>
          </w:p>
        </w:tc>
        <w:tc>
          <w:tcPr>
            <w:tcW w:w="2246" w:type="dxa"/>
          </w:tcPr>
          <w:p w14:paraId="35E66EAF" w14:textId="77777777" w:rsidR="00237D4B" w:rsidRPr="00FF276E" w:rsidRDefault="00E35FF3">
            <w:r w:rsidRPr="00FF276E">
              <w:t>OK</w:t>
            </w:r>
          </w:p>
        </w:tc>
      </w:tr>
      <w:tr w:rsidR="00237D4B" w:rsidRPr="00FF276E" w14:paraId="7BD8191F" w14:textId="77777777">
        <w:trPr>
          <w:cantSplit/>
          <w:jc w:val="center"/>
        </w:trPr>
        <w:tc>
          <w:tcPr>
            <w:tcW w:w="2246" w:type="dxa"/>
          </w:tcPr>
          <w:p w14:paraId="459F7792" w14:textId="77777777" w:rsidR="00237D4B" w:rsidRPr="00FF276E" w:rsidRDefault="00E35FF3">
            <w:r w:rsidRPr="00FF276E">
              <w:t>+4 sem (Mar 2026)</w:t>
            </w:r>
          </w:p>
        </w:tc>
        <w:tc>
          <w:tcPr>
            <w:tcW w:w="2248" w:type="dxa"/>
          </w:tcPr>
          <w:p w14:paraId="11BAFECC" w14:textId="77777777" w:rsidR="00237D4B" w:rsidRPr="00FF276E" w:rsidRDefault="00E35FF3">
            <w:r w:rsidRPr="00FF276E">
              <w:t>NB toma el relevo (33.7%; XFG 34%)</w:t>
            </w:r>
          </w:p>
        </w:tc>
        <w:tc>
          <w:tcPr>
            <w:tcW w:w="2598" w:type="dxa"/>
          </w:tcPr>
          <w:p w14:paraId="4DCD9B05" w14:textId="77777777" w:rsidR="00237D4B" w:rsidRPr="00FF276E" w:rsidRDefault="00E35FF3" w:rsidP="00733C44">
            <w:pPr>
              <w:jc w:val="both"/>
            </w:pPr>
            <w:r w:rsidRPr="00FF276E">
              <w:t>NB co-dominante, líder en China/Japón; XFG aún líder en Américas</w:t>
            </w:r>
          </w:p>
        </w:tc>
        <w:tc>
          <w:tcPr>
            <w:tcW w:w="2246" w:type="dxa"/>
          </w:tcPr>
          <w:p w14:paraId="63C0F085" w14:textId="77777777" w:rsidR="00237D4B" w:rsidRPr="00FF276E" w:rsidRDefault="00E35FF3">
            <w:r w:rsidRPr="00FF276E">
              <w:t>PARCIAL</w:t>
            </w:r>
          </w:p>
        </w:tc>
      </w:tr>
      <w:tr w:rsidR="00237D4B" w:rsidRPr="00FF276E" w14:paraId="681B7104" w14:textId="77777777">
        <w:trPr>
          <w:cantSplit/>
          <w:jc w:val="center"/>
        </w:trPr>
        <w:tc>
          <w:tcPr>
            <w:tcW w:w="2246" w:type="dxa"/>
          </w:tcPr>
          <w:p w14:paraId="2C48AF4D" w14:textId="77777777" w:rsidR="00237D4B" w:rsidRPr="00FF276E" w:rsidRDefault="00E35FF3">
            <w:r w:rsidRPr="00FF276E">
              <w:lastRenderedPageBreak/>
              <w:t>+8 sem (Abr 2026)</w:t>
            </w:r>
          </w:p>
        </w:tc>
        <w:tc>
          <w:tcPr>
            <w:tcW w:w="2248" w:type="dxa"/>
          </w:tcPr>
          <w:p w14:paraId="7B79EC52" w14:textId="77777777" w:rsidR="00237D4B" w:rsidRPr="00FF276E" w:rsidRDefault="00E35FF3">
            <w:r w:rsidRPr="00FF276E">
              <w:t>NB consolida (40.8%; XFG 24%)</w:t>
            </w:r>
          </w:p>
        </w:tc>
        <w:tc>
          <w:tcPr>
            <w:tcW w:w="2598" w:type="dxa"/>
          </w:tcPr>
          <w:p w14:paraId="0F6BED58" w14:textId="77777777" w:rsidR="00237D4B" w:rsidRPr="00FF276E" w:rsidRDefault="00E35FF3" w:rsidP="00733C44">
            <w:pPr>
              <w:jc w:val="both"/>
            </w:pPr>
            <w:r w:rsidRPr="00FF276E">
              <w:t>NB sigue al alza, pero BA.3.2.2 emerge como más apta (neherlab abr-2026)</w:t>
            </w:r>
          </w:p>
        </w:tc>
        <w:tc>
          <w:tcPr>
            <w:tcW w:w="2246" w:type="dxa"/>
          </w:tcPr>
          <w:p w14:paraId="3A7CFDA5" w14:textId="77777777" w:rsidR="00237D4B" w:rsidRPr="00FF276E" w:rsidRDefault="00E35FF3">
            <w:r w:rsidRPr="00FF276E">
              <w:t>PARCIAL</w:t>
            </w:r>
          </w:p>
        </w:tc>
      </w:tr>
      <w:tr w:rsidR="00237D4B" w:rsidRPr="00FF276E" w14:paraId="1FAA51DA" w14:textId="77777777">
        <w:trPr>
          <w:cantSplit/>
          <w:jc w:val="center"/>
        </w:trPr>
        <w:tc>
          <w:tcPr>
            <w:tcW w:w="2246" w:type="dxa"/>
          </w:tcPr>
          <w:p w14:paraId="7FCB8AA1" w14:textId="77777777" w:rsidR="00237D4B" w:rsidRPr="00FF276E" w:rsidRDefault="00E35FF3">
            <w:r w:rsidRPr="00FF276E">
              <w:t>+16 sem (May-Jun 2026)</w:t>
            </w:r>
          </w:p>
        </w:tc>
        <w:tc>
          <w:tcPr>
            <w:tcW w:w="2248" w:type="dxa"/>
          </w:tcPr>
          <w:p w14:paraId="3E923D12" w14:textId="77777777" w:rsidR="00237D4B" w:rsidRPr="00FF276E" w:rsidRDefault="00E35FF3">
            <w:r w:rsidRPr="00FF276E">
              <w:t>NB dominante (50.3%; XFC 13%, XFG 10%)</w:t>
            </w:r>
          </w:p>
        </w:tc>
        <w:tc>
          <w:tcPr>
            <w:tcW w:w="2598" w:type="dxa"/>
          </w:tcPr>
          <w:p w14:paraId="0B3DBBAD" w14:textId="77777777" w:rsidR="00237D4B" w:rsidRPr="00FF276E" w:rsidRDefault="00E35FF3" w:rsidP="00733C44">
            <w:pPr>
              <w:jc w:val="both"/>
            </w:pPr>
            <w:r w:rsidRPr="00FF276E">
              <w:t>Heterogeneidad regional: PQ.2.8.1 27%, XFG.1.1 18%, NB/BA.3.2.2 co-circulando</w:t>
            </w:r>
          </w:p>
        </w:tc>
        <w:tc>
          <w:tcPr>
            <w:tcW w:w="2246" w:type="dxa"/>
          </w:tcPr>
          <w:p w14:paraId="5A55910C" w14:textId="77777777" w:rsidR="00237D4B" w:rsidRPr="00FF276E" w:rsidRDefault="00E35FF3">
            <w:r w:rsidRPr="00FF276E">
              <w:t>PARCIAL</w:t>
            </w:r>
          </w:p>
        </w:tc>
      </w:tr>
    </w:tbl>
    <w:p w14:paraId="6412DF86" w14:textId="738DFED8" w:rsidR="00AE4C5F" w:rsidRPr="00FF276E" w:rsidRDefault="00AE4C5F">
      <w:pPr>
        <w:spacing w:before="280"/>
        <w:jc w:val="both"/>
      </w:pPr>
    </w:p>
    <w:p w14:paraId="431614E3" w14:textId="0983773A" w:rsidR="00AE4C5F" w:rsidRPr="00FF276E" w:rsidRDefault="00E35FF3" w:rsidP="00733C44">
      <w:pPr>
        <w:pStyle w:val="Listaconvietas"/>
        <w:jc w:val="both"/>
      </w:pPr>
      <w:r w:rsidRPr="00FF276E">
        <w:t>Resultado global: 1/4 correcto, 3/4 parciales, 0/4 incorrectos. Acierto fiable en el horizonte corto (+1 a +</w:t>
      </w:r>
      <w:r w:rsidR="00E531FA" w:rsidRPr="00E531FA">
        <w:rPr>
          <w:rFonts w:cs="Calibri"/>
        </w:rPr>
        <w:t>4</w:t>
      </w:r>
      <w:r w:rsidRPr="00FF276E">
        <w:t xml:space="preserve"> semanas); el margen de error a partir de +</w:t>
      </w:r>
      <w:r w:rsidR="00E531FA" w:rsidRPr="00E531FA">
        <w:rPr>
          <w:rFonts w:cs="Calibri"/>
        </w:rPr>
        <w:t>8</w:t>
      </w:r>
      <w:r w:rsidRPr="00FF276E">
        <w:t xml:space="preserve"> semanas proviene de eventos no modelables por diseño (emergencia </w:t>
      </w:r>
      <w:r w:rsidRPr="006825B8">
        <w:rPr>
          <w:i/>
        </w:rPr>
        <w:t>de novo</w:t>
      </w:r>
      <w:r w:rsidRPr="00FF276E">
        <w:t xml:space="preserve"> de BA.3.2.2 y fragmentación regional, 8.3.2), no de un fallo del replicador. La modulación ML anticipó correctamente la transición XFG-&gt;NB que la proyección empírica pura no veía (predecía a PY como dominante) (</w:t>
      </w:r>
      <w:r w:rsidR="00B46C8F" w:rsidRPr="00FF276E">
        <w:t>Figura 7.13</w:t>
      </w:r>
      <w:r w:rsidRPr="00FF276E">
        <w:t>).</w:t>
      </w:r>
    </w:p>
    <w:p w14:paraId="412C0FF2" w14:textId="1381AF95" w:rsidR="00237D4B" w:rsidRPr="00FF276E" w:rsidRDefault="0072479D">
      <w:pPr>
        <w:keepNext/>
        <w:spacing w:before="280" w:after="80"/>
        <w:jc w:val="center"/>
      </w:pPr>
      <w:r w:rsidRPr="00FF276E">
        <w:drawing>
          <wp:anchor distT="0" distB="0" distL="0" distR="0" simplePos="0" relativeHeight="251658273" behindDoc="0" locked="0" layoutInCell="1" allowOverlap="1" wp14:anchorId="60EBA1C8" wp14:editId="238EBA10">
            <wp:simplePos x="0" y="0"/>
            <wp:positionH relativeFrom="column">
              <wp:posOffset>219710</wp:posOffset>
            </wp:positionH>
            <wp:positionV relativeFrom="paragraph">
              <wp:posOffset>342900</wp:posOffset>
            </wp:positionV>
            <wp:extent cx="5486400" cy="211179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2_validacion_externa.png"/>
                    <pic:cNvPicPr/>
                  </pic:nvPicPr>
                  <pic:blipFill>
                    <a:blip r:embed="rId44"/>
                    <a:stretch>
                      <a:fillRect/>
                    </a:stretch>
                  </pic:blipFill>
                  <pic:spPr>
                    <a:xfrm>
                      <a:off x="0" y="0"/>
                      <a:ext cx="5486400" cy="2111790"/>
                    </a:xfrm>
                    <a:prstGeom prst="rect">
                      <a:avLst/>
                    </a:prstGeom>
                  </pic:spPr>
                </pic:pic>
              </a:graphicData>
            </a:graphic>
          </wp:anchor>
        </w:drawing>
      </w:r>
    </w:p>
    <w:p w14:paraId="526C9BB1" w14:textId="77777777" w:rsidR="00237D4B" w:rsidRPr="00FF276E" w:rsidRDefault="00B46C8F">
      <w:pPr>
        <w:keepLines/>
        <w:spacing w:before="80" w:after="280"/>
        <w:jc w:val="center"/>
      </w:pPr>
      <w:r w:rsidRPr="00FF276E">
        <w:rPr>
          <w:b/>
        </w:rPr>
        <w:t>Figura 7.13. Validación externa: frecuencia observada realmente en junio de 2026 (puntos) frente a la proyección ML-ajustada de la Figura 7.12 (línea), por horizonte de predicción desde +1 hasta +16 semanas. El acierto es alto a corto plazo y solo se degrada a partir de +8 semanas, cuando emerge BA.3.2.2, una variante sin precedente en los datos de entrenamiento.</w:t>
      </w:r>
    </w:p>
    <w:p w14:paraId="2B9DBAE8" w14:textId="77777777" w:rsidR="00AE4C5F" w:rsidRPr="00FF276E" w:rsidRDefault="00E35FF3">
      <w:pPr>
        <w:pStyle w:val="Ttulo3"/>
        <w:rPr>
          <w:color w:val="4F81BD"/>
        </w:rPr>
      </w:pPr>
      <w:bookmarkStart w:id="111" w:name="_Toc234787651"/>
      <w:bookmarkStart w:id="112" w:name="_Toc238464678"/>
      <w:r w:rsidRPr="00FF276E">
        <w:rPr>
          <w:color w:val="4F81BD"/>
        </w:rPr>
        <w:t>7.8.1. Análisis del fallo principal: BA.3.2.2</w:t>
      </w:r>
      <w:bookmarkEnd w:id="111"/>
      <w:bookmarkEnd w:id="112"/>
    </w:p>
    <w:p w14:paraId="5D181572" w14:textId="77777777" w:rsidR="00AE4C5F" w:rsidRPr="00FF276E" w:rsidRDefault="00E35FF3">
      <w:pPr>
        <w:jc w:val="both"/>
      </w:pPr>
      <w:r w:rsidRPr="00FF276E">
        <w:t xml:space="preserve">BA.3.2.2 es un sublinaje de BA.3 detectado por primera vez en Sudáfrica a finales de 2025 y que emerge como variante altamente apta en marzo-abril 2026. Su emergencia no fue anticipada por ningún sistema de vigilancia basado en datos históricos de GISAID, incluyendo el presentado en este trabajo, </w:t>
      </w:r>
      <w:r w:rsidRPr="00FF276E">
        <w:lastRenderedPageBreak/>
        <w:t>porque BA.3 era un linaje completamente residual (frecuencia &lt;0.01%) en los datos de entrenamiento y en el corte de datos de febrero 2026.</w:t>
      </w:r>
    </w:p>
    <w:p w14:paraId="7FFB94F8" w14:textId="77777777" w:rsidR="00AE4C5F" w:rsidRPr="00FF276E" w:rsidRDefault="00E35FF3">
      <w:pPr>
        <w:jc w:val="both"/>
      </w:pPr>
      <w:r w:rsidRPr="00FF276E">
        <w:t xml:space="preserve">Este fallo es estructural e infranqueable para cualquier sistema basado en datos históricos de variantes conocidas. La única forma de anticipar BA.3.2.2 habría sido mediante el análisis de secuencias individuales (no frecuencias agregadas) para detectar la acumulación de mutaciones de escape en el linaje BA.3 minoritario. Esta limitación es precisamente la que motiva la hipótesis CDH del trabajo: los haplotipos discordantes de clado pueden contener señales de variantes </w:t>
      </w:r>
      <w:r w:rsidRPr="006825B8">
        <w:rPr>
          <w:i/>
        </w:rPr>
        <w:t>de novo</w:t>
      </w:r>
      <w:r w:rsidRPr="00FF276E">
        <w:t xml:space="preserve"> antes de que sean detectables en la vigilancia poblacional estándar.</w:t>
      </w:r>
    </w:p>
    <w:p w14:paraId="718EF723" w14:textId="77777777" w:rsidR="00AE4C5F" w:rsidRPr="00FF276E" w:rsidRDefault="00E35FF3">
      <w:pPr>
        <w:pStyle w:val="Ttulo3"/>
        <w:rPr>
          <w:color w:val="4F81BD"/>
        </w:rPr>
      </w:pPr>
      <w:bookmarkStart w:id="113" w:name="_Toc234787652"/>
      <w:bookmarkStart w:id="114" w:name="_Toc238464679"/>
      <w:r w:rsidRPr="00FF276E">
        <w:rPr>
          <w:color w:val="4F81BD"/>
        </w:rPr>
        <w:t>7.8.2. Contribución de la modulación ML vs. modelo de referencia empírico</w:t>
      </w:r>
      <w:bookmarkEnd w:id="113"/>
      <w:bookmarkEnd w:id="114"/>
    </w:p>
    <w:p w14:paraId="14ABDC19" w14:textId="77777777" w:rsidR="00AE4C5F" w:rsidRPr="00FF276E" w:rsidRDefault="00E35FF3">
      <w:pPr>
        <w:jc w:val="both"/>
      </w:pPr>
      <w:r w:rsidRPr="00FF276E">
        <w:t>La comparación entre la proyección ajustada por LightGBM y la proyección puramente empírica (extrapolar sin más la tasa de crecimiento observada en las últimas 8 semanas, sin ninguna corrección) muestra el valor concreto que aporta integrar el modelo en el replicador. Extrapolando solo la tendencia, PY parecía imparable: la proyección empírica la situaba por encima del 80% de frecuencia global en la semana +16. Eso no ocurrió: PY se quedó como variante minoritaria, con dominancia solo en algunos focos regionales (sobre todo Singapur). La proyección ajustada por LightGBM no cometió ese error porque el modelo situó a PY en una posición baja dentro del grupo de variantes en ascenso (7.5.1); con esa señal, el sistema redujo la tasa de crecimiento proyectada de PY a solo el 25% de su valor puramente empírico, evitando ese crecimiento desbocado y produciendo en su lugar una codominancia entre NB y XFG mucho más parecida a lo que realmente ocurrió.</w:t>
      </w:r>
    </w:p>
    <w:p w14:paraId="20277198" w14:textId="77777777" w:rsidR="00AE4C5F" w:rsidRPr="00FF276E" w:rsidRDefault="00E35FF3">
      <w:pPr>
        <w:jc w:val="both"/>
      </w:pPr>
      <w:r w:rsidRPr="00FF276E">
        <w:t>Los límites estructurales restantes del sistema son dos:</w:t>
      </w:r>
    </w:p>
    <w:p w14:paraId="243D84C6" w14:textId="77777777" w:rsidR="00AE4C5F" w:rsidRPr="00FF276E" w:rsidRDefault="00E35FF3" w:rsidP="00733C44">
      <w:pPr>
        <w:pStyle w:val="Listaconvietas"/>
        <w:jc w:val="both"/>
      </w:pPr>
      <w:r w:rsidRPr="00FF276E">
        <w:t xml:space="preserve">Variantes </w:t>
      </w:r>
      <w:r w:rsidRPr="006825B8">
        <w:rPr>
          <w:i/>
        </w:rPr>
        <w:t>de novo</w:t>
      </w:r>
      <w:r w:rsidRPr="00FF276E">
        <w:t xml:space="preserve"> (BA.3.2.2): no modelables sin datos previos de ese linaje. Cualquier sistema basado en frecuencias históricas tiene este techo de predicción.</w:t>
      </w:r>
    </w:p>
    <w:p w14:paraId="671B6E61" w14:textId="77777777" w:rsidR="00AE4C5F" w:rsidRPr="00FF276E" w:rsidRDefault="00E35FF3">
      <w:pPr>
        <w:pStyle w:val="Listaconnmeros"/>
        <w:jc w:val="both"/>
      </w:pPr>
      <w:r w:rsidRPr="00FF276E">
        <w:t>Fragmentación regional: el replicador opera con frecuencias globales y no captura que XFG puede dominar en América mientras NB domina en Asia simultáneamente. Un modelo regional requeriría matrices de frecuencia por país/región, multiplicando los datos necesarios.</w:t>
      </w:r>
    </w:p>
    <w:p w14:paraId="22665FE6" w14:textId="77777777" w:rsidR="00AE4C5F" w:rsidRPr="00FF276E" w:rsidRDefault="00E35FF3">
      <w:pPr>
        <w:jc w:val="both"/>
      </w:pPr>
      <w:r w:rsidRPr="00FF276E">
        <w:br w:type="page"/>
      </w:r>
    </w:p>
    <w:p w14:paraId="4C79BA2B" w14:textId="77777777" w:rsidR="00AE4C5F" w:rsidRPr="00FF276E" w:rsidRDefault="00E35FF3">
      <w:pPr>
        <w:pStyle w:val="Ttulo1"/>
        <w:rPr>
          <w:color w:val="1F497D"/>
        </w:rPr>
      </w:pPr>
      <w:bookmarkStart w:id="115" w:name="_Toc234787653"/>
      <w:bookmarkStart w:id="116" w:name="_Toc238464680"/>
      <w:r w:rsidRPr="00FF276E">
        <w:rPr>
          <w:color w:val="1F497D"/>
        </w:rPr>
        <w:lastRenderedPageBreak/>
        <w:t>8. Discusión</w:t>
      </w:r>
      <w:bookmarkEnd w:id="115"/>
      <w:bookmarkEnd w:id="116"/>
    </w:p>
    <w:p w14:paraId="74E7E5A0" w14:textId="77777777" w:rsidR="00AE4C5F" w:rsidRPr="00FF276E" w:rsidRDefault="00E35FF3">
      <w:pPr>
        <w:pStyle w:val="Ttulo2"/>
        <w:rPr>
          <w:color w:val="2E74B5"/>
        </w:rPr>
      </w:pPr>
      <w:bookmarkStart w:id="117" w:name="_Toc234787654"/>
      <w:bookmarkStart w:id="118" w:name="_Toc238464681"/>
      <w:r w:rsidRPr="00FF276E">
        <w:rPr>
          <w:color w:val="2E74B5"/>
        </w:rPr>
        <w:t>8.1. Interpretación técnica</w:t>
      </w:r>
      <w:bookmarkEnd w:id="117"/>
      <w:bookmarkEnd w:id="118"/>
    </w:p>
    <w:p w14:paraId="7F611B70" w14:textId="77777777" w:rsidR="00AE4C5F" w:rsidRPr="00FF276E" w:rsidRDefault="00E35FF3">
      <w:pPr>
        <w:jc w:val="both"/>
      </w:pPr>
      <w:r w:rsidRPr="00FF276E">
        <w:t xml:space="preserve">El rendimiento del modelo LightGBM (AUC = 0.886 en </w:t>
      </w:r>
      <w:r w:rsidRPr="006825B8">
        <w:rPr>
          <w:i/>
        </w:rPr>
        <w:t>partición</w:t>
      </w:r>
      <w:r w:rsidRPr="00FF276E">
        <w:t xml:space="preserve"> fija, AUC = 0.877 en </w:t>
      </w:r>
      <w:r w:rsidRPr="000E2107">
        <w:rPr>
          <w:i/>
        </w:rPr>
        <w:t>validación progresiva</w:t>
      </w:r>
      <w:r w:rsidRPr="00FF276E">
        <w:t xml:space="preserve"> para M2) es competitivo con los sistemas de vigilancia genómica publicados en la literatura. El trabajo de Obermeyer et al. </w:t>
      </w:r>
      <w:hyperlink w:anchor="ref10" w:history="1">
        <w:r>
          <w:rPr>
            <w:rStyle w:val="Hipervnculo"/>
          </w:rPr>
          <w:t>[10]</w:t>
        </w:r>
      </w:hyperlink>
      <w:r w:rsidRPr="00FF276E">
        <w:t xml:space="preserve"> sobre SARS-CoV-2 con datos de GISAID reporta AUC de 0.80-0.85 para predicción de crecimiento a 4 semanas usando métodos de regresión lineal sobre </w:t>
      </w:r>
      <w:r w:rsidRPr="006825B8">
        <w:t>características</w:t>
      </w:r>
      <w:r w:rsidRPr="00FF276E">
        <w:t xml:space="preserve"> de frecuencia. El sistema presentado aquí supera ese rango con un método más rico en </w:t>
      </w:r>
      <w:r w:rsidRPr="006825B8">
        <w:t>características</w:t>
      </w:r>
      <w:r w:rsidRPr="00FF276E">
        <w:t xml:space="preserve"> y una validación progresiva más rigurosa por épocas pandémicas (3.4).</w:t>
      </w:r>
    </w:p>
    <w:p w14:paraId="4B66A2AE" w14:textId="77777777" w:rsidR="00237D4B" w:rsidRPr="00FF276E" w:rsidRDefault="00E35FF3">
      <w:pPr>
        <w:jc w:val="both"/>
      </w:pPr>
      <w:r w:rsidRPr="00FF276E">
        <w:t xml:space="preserve">Otros enfoques recientes (2.1) abordan el mismo problema desde ángulos distintos y son complementarios más que comparables directamente. PandoGen </w:t>
      </w:r>
      <w:hyperlink w:anchor="ref12" w:history="1">
        <w:r>
          <w:rPr>
            <w:rStyle w:val="Hipervnculo"/>
          </w:rPr>
          <w:t>[12]</w:t>
        </w:r>
      </w:hyperlink>
      <w:r w:rsidRPr="00FF276E">
        <w:t xml:space="preserve"> y VirusT5 </w:t>
      </w:r>
      <w:hyperlink w:anchor="ref13" w:history="1">
        <w:r>
          <w:rPr>
            <w:rStyle w:val="Hipervnculo"/>
          </w:rPr>
          <w:t>[13]</w:t>
        </w:r>
      </w:hyperlink>
      <w:r w:rsidRPr="00FF276E">
        <w:t xml:space="preserve"> podrían anticipar mutaciones aún no presentes en GISAID, algo que el sistema aquí presentado no hace por diseño (solo modela variantes ya circulantes). Thadani et al. </w:t>
      </w:r>
      <w:hyperlink w:anchor="ref11" w:history="1">
        <w:r>
          <w:rPr>
            <w:rStyle w:val="Hipervnculo"/>
          </w:rPr>
          <w:t>[11]</w:t>
        </w:r>
      </w:hyperlink>
      <w:r w:rsidRPr="00FF276E">
        <w:t xml:space="preserve"> y Han et al. </w:t>
      </w:r>
      <w:hyperlink w:anchor="ref15" w:history="1">
        <w:r>
          <w:rPr>
            <w:rStyle w:val="Hipervnculo"/>
          </w:rPr>
          <w:t>[15]</w:t>
        </w:r>
      </w:hyperlink>
      <w:r w:rsidRPr="00FF276E">
        <w:t xml:space="preserve"> trabajan a una escala de grano más fino (mutación aislada) que la de este trabajo (dominancia poblacional de familias y mutaciones).</w:t>
      </w:r>
    </w:p>
    <w:p w14:paraId="3B7BC4F4" w14:textId="77777777" w:rsidR="00A138F6" w:rsidRPr="00FF276E" w:rsidRDefault="00E35FF3">
      <w:pPr>
        <w:jc w:val="both"/>
      </w:pPr>
      <w:r w:rsidRPr="00FF276E">
        <w:t xml:space="preserve">Dadonaite et al. </w:t>
      </w:r>
      <w:hyperlink w:anchor="ref16" w:history="1">
        <w:r>
          <w:rPr>
            <w:rStyle w:val="Hipervnculo"/>
          </w:rPr>
          <w:t>[16]</w:t>
        </w:r>
      </w:hyperlink>
      <w:r w:rsidRPr="00FF276E">
        <w:t xml:space="preserve"> usan mutagénesis profunda (deep mutational scanning) de Spike para predecir qué clados tendrán éxito, un enfoque experimental </w:t>
      </w:r>
      <w:r w:rsidRPr="006825B8">
        <w:rPr>
          <w:i/>
        </w:rPr>
        <w:t>in vitro</w:t>
      </w:r>
      <w:r w:rsidRPr="00FF276E">
        <w:t xml:space="preserve"> que ofrece una cota superior útil pero no captura la dinámica poblacional real (frecuencias, competencia entre variantes, inmunidad de la población) que sí modela el sistema de este TFM. La comparación conjunta sitúa la contribución de este trabajo en el extremo de mayor validación empírica poblacional frente a enfoques centrados en la predicción molecular o generativa de secuencias.</w:t>
      </w:r>
    </w:p>
    <w:p w14:paraId="163F9305" w14:textId="77777777" w:rsidR="00AE4C5F" w:rsidRPr="00FF276E" w:rsidRDefault="00786D53">
      <w:pPr>
        <w:jc w:val="both"/>
      </w:pPr>
      <w:r w:rsidRPr="00FF276E">
        <w:rPr>
          <w:rFonts w:cs="Calibri"/>
        </w:rPr>
        <w:t>Cinco veces a lo largo del desarrollo del sistema se repitió el mismo patrón metodológico: solo un experimento controlado, y no la intuición, permitió distinguir la señal real del artefacto.</w:t>
      </w:r>
    </w:p>
    <w:p w14:paraId="1FF7DA25" w14:textId="77777777" w:rsidR="00A138F6" w:rsidRPr="00FF276E" w:rsidRDefault="00E35FF3" w:rsidP="00733C44">
      <w:pPr>
        <w:pStyle w:val="Listaconvietas"/>
        <w:spacing w:line="240" w:lineRule="auto"/>
        <w:jc w:val="both"/>
      </w:pPr>
      <w:r w:rsidRPr="00FF276E">
        <w:t xml:space="preserve">Una </w:t>
      </w:r>
      <w:r w:rsidRPr="006825B8">
        <w:t>característica</w:t>
      </w:r>
      <w:r w:rsidRPr="00FF276E">
        <w:t xml:space="preserve"> de coocurrencia real entre mutaciones (cooc_partner_strength) parecía razonable por diseño, pero hacía caer el AUC de </w:t>
      </w:r>
      <w:r w:rsidRPr="002D0178">
        <w:rPr>
          <w:i/>
        </w:rPr>
        <w:t>test</w:t>
      </w:r>
      <w:r w:rsidRPr="00FF276E">
        <w:t xml:space="preserve"> de M3-SPNSP al añadirla (0.9203 → 0.865-0.876) porque memorizaba identidad en vez de generalizar; solo un </w:t>
      </w:r>
      <w:r w:rsidRPr="006825B8">
        <w:rPr>
          <w:i/>
        </w:rPr>
        <w:t>ablation</w:t>
      </w:r>
      <w:r w:rsidRPr="00FF276E">
        <w:t xml:space="preserve"> sistemático lo detectó (6.4).</w:t>
      </w:r>
    </w:p>
    <w:p w14:paraId="0278812E" w14:textId="77777777" w:rsidR="00A138F6" w:rsidRPr="00FF276E" w:rsidRDefault="00E35FF3" w:rsidP="00733C44">
      <w:pPr>
        <w:pStyle w:val="Listaconvietas"/>
        <w:spacing w:line="240" w:lineRule="auto"/>
        <w:jc w:val="both"/>
      </w:pPr>
      <w:r w:rsidRPr="00FF276E">
        <w:t xml:space="preserve">El mismo </w:t>
      </w:r>
      <w:r w:rsidRPr="006825B8">
        <w:rPr>
          <w:i/>
        </w:rPr>
        <w:t>ablation</w:t>
      </w:r>
      <w:r w:rsidRPr="00FF276E">
        <w:t xml:space="preserve">, extendido, mostró que otras dos </w:t>
      </w:r>
      <w:r w:rsidRPr="006825B8">
        <w:t>características</w:t>
      </w:r>
      <w:r w:rsidRPr="00FF276E">
        <w:t xml:space="preserve"> (blosum_change, is_indel) tampoco aportaban: quitarlas cambia el AUC en -0.0014 pero reduce la </w:t>
      </w:r>
      <w:r w:rsidRPr="00F0520D">
        <w:rPr>
          <w:i/>
        </w:rPr>
        <w:t>diferencia</w:t>
      </w:r>
      <w:r w:rsidRPr="00FF276E">
        <w:t xml:space="preserve"> </w:t>
      </w:r>
      <w:r w:rsidRPr="002D0178">
        <w:rPr>
          <w:i/>
        </w:rPr>
        <w:t>train</w:t>
      </w:r>
      <w:r w:rsidRPr="00FF276E">
        <w:t>-</w:t>
      </w:r>
      <w:r w:rsidRPr="002D0178">
        <w:rPr>
          <w:i/>
        </w:rPr>
        <w:t>test</w:t>
      </w:r>
      <w:r w:rsidRPr="00FF276E">
        <w:t xml:space="preserve"> a la mitad.</w:t>
      </w:r>
    </w:p>
    <w:p w14:paraId="64007CFA" w14:textId="77777777" w:rsidR="00A138F6" w:rsidRPr="00FF276E" w:rsidRDefault="00E35FF3" w:rsidP="00733C44">
      <w:pPr>
        <w:pStyle w:val="Listaconvietas"/>
        <w:spacing w:line="240" w:lineRule="auto"/>
        <w:jc w:val="both"/>
      </w:pPr>
      <w:r w:rsidRPr="00FF276E">
        <w:t>Una validación cruzada pensada para dar más confianza a M1 (7.7.3) dio un AUC casi perfecto (~0.999) que, lejos de ser buena noticia, resultó ser la firma de fuga por entidad en datos de panel.</w:t>
      </w:r>
    </w:p>
    <w:p w14:paraId="01C776AA" w14:textId="77777777" w:rsidR="00A138F6" w:rsidRPr="00FF276E" w:rsidRDefault="00E35FF3" w:rsidP="00733C44">
      <w:pPr>
        <w:pStyle w:val="Listaconvietas"/>
        <w:spacing w:line="240" w:lineRule="auto"/>
        <w:jc w:val="both"/>
      </w:pPr>
      <w:r w:rsidRPr="00FF276E">
        <w:t xml:space="preserve">Diagnosticar, no solo observar, por qué M2/M2-SPNSP30 generalizaban mal (midiendo el solapamiento de familias entre fit y validación) llevó a una regularización más fuerte que mejoró el AUC de </w:t>
      </w:r>
      <w:r w:rsidRPr="002D0178">
        <w:rPr>
          <w:i/>
        </w:rPr>
        <w:t>test</w:t>
      </w:r>
      <w:r w:rsidRPr="00FF276E">
        <w:t xml:space="preserve"> y bajó la </w:t>
      </w:r>
      <w:r w:rsidRPr="00F0520D">
        <w:rPr>
          <w:i/>
        </w:rPr>
        <w:t>diferencia</w:t>
      </w:r>
      <w:r w:rsidRPr="00FF276E">
        <w:t xml:space="preserve"> a la vez, contra la intuición de que regularizar más siempre cuesta algo de rendimiento.</w:t>
      </w:r>
    </w:p>
    <w:p w14:paraId="5C201B31" w14:textId="77777777" w:rsidR="00A138F6" w:rsidRPr="00FF276E" w:rsidRDefault="00E35FF3" w:rsidP="00733C44">
      <w:pPr>
        <w:pStyle w:val="Listaconvietas"/>
        <w:spacing w:line="240" w:lineRule="auto"/>
        <w:jc w:val="both"/>
      </w:pPr>
      <w:r w:rsidRPr="00FF276E">
        <w:t xml:space="preserve">Esa misma regularización desplazó las probabilidades de M2 lo suficiente como para que la </w:t>
      </w:r>
      <w:r w:rsidRPr="006825B8">
        <w:rPr>
          <w:i/>
        </w:rPr>
        <w:t>priorización</w:t>
      </w:r>
      <w:r w:rsidRPr="00FF276E">
        <w:t xml:space="preserve"> de vigilancia (7.4) marcara 12 de 16 familias activas como HIGH; solo una calibración </w:t>
      </w:r>
      <w:r w:rsidRPr="00FF276E">
        <w:lastRenderedPageBreak/>
        <w:t>isotónica, validada con un diagnóstico por quintiles sobre datos reales, lo corrigió de forma verificable.</w:t>
      </w:r>
    </w:p>
    <w:p w14:paraId="56C012EC" w14:textId="77777777" w:rsidR="00A138F6" w:rsidRPr="00FF276E" w:rsidRDefault="00E35FF3">
      <w:pPr>
        <w:jc w:val="both"/>
      </w:pPr>
      <w:r w:rsidRPr="00FF276E">
        <w:t xml:space="preserve">La evidencia de que el sistema resultante está libre de filtraciones es el patrón sistemático de que la </w:t>
      </w:r>
      <w:r w:rsidRPr="000E2107">
        <w:rPr>
          <w:i/>
        </w:rPr>
        <w:t>validación progresiva</w:t>
      </w:r>
      <w:r w:rsidRPr="00FF276E">
        <w:t xml:space="preserve"> es consistentemente inferior a la </w:t>
      </w:r>
      <w:r w:rsidRPr="006825B8">
        <w:rPr>
          <w:i/>
        </w:rPr>
        <w:t>partición</w:t>
      </w:r>
      <w:r w:rsidRPr="00FF276E">
        <w:t xml:space="preserve"> en los cuatro </w:t>
      </w:r>
      <w:r w:rsidRPr="006825B8">
        <w:t>conjuntos de datos</w:t>
      </w:r>
      <w:r w:rsidRPr="00FF276E">
        <w:t xml:space="preserve"> que la admiten (M2, M2-SPNSP30, M3-SPNSP, M3-ALL), con Δ negativo en los cuatro: la firma matemática esperada cuando no hay fuga de información.</w:t>
      </w:r>
    </w:p>
    <w:p w14:paraId="21A2DCB3" w14:textId="77777777" w:rsidR="00AE4C5F" w:rsidRPr="00FF276E" w:rsidRDefault="00E35FF3">
      <w:pPr>
        <w:jc w:val="both"/>
      </w:pPr>
      <w:r w:rsidRPr="00FF276E">
        <w:t xml:space="preserve">La comparación M2 vs. M2-SPNSP30 (7.2.2) </w:t>
      </w:r>
      <w:r w:rsidR="00786D53" w:rsidRPr="00FF276E">
        <w:rPr>
          <w:rFonts w:cs="Calibri"/>
        </w:rPr>
        <w:t>muestra un patrón</w:t>
      </w:r>
      <w:r w:rsidRPr="00FF276E">
        <w:t xml:space="preserve"> general sobre la transferibilidad de </w:t>
      </w:r>
      <w:r w:rsidRPr="006825B8">
        <w:t>características</w:t>
      </w:r>
      <w:r w:rsidRPr="00FF276E">
        <w:t xml:space="preserve">: las </w:t>
      </w:r>
      <w:r w:rsidRPr="006825B8">
        <w:t>características</w:t>
      </w:r>
      <w:r w:rsidRPr="00FF276E">
        <w:t xml:space="preserve"> temporales (tasas de crecimiento, frecuencias) son más universales y transfieren mejor entre épocas porque el mecanismo de selección de barrido opera de forma parecida en Alpha que en XFG. Las </w:t>
      </w:r>
      <w:r w:rsidRPr="006825B8">
        <w:t>características</w:t>
      </w:r>
      <w:r w:rsidRPr="00FF276E">
        <w:t xml:space="preserve"> mutacionales son más específicas de cada época, como muestra el fold XBB, donde las mutaciones informativas durante BA.4/5 dejan de serlo. </w:t>
      </w:r>
      <w:r w:rsidR="00786D53" w:rsidRPr="00FF276E">
        <w:rPr>
          <w:rFonts w:cs="Calibri"/>
        </w:rPr>
        <w:t>En un sistema</w:t>
      </w:r>
      <w:r w:rsidRPr="00FF276E">
        <w:t xml:space="preserve"> de vigilancia en producción</w:t>
      </w:r>
      <w:r w:rsidR="00786D53" w:rsidRPr="00FF276E">
        <w:rPr>
          <w:rFonts w:cs="Calibri"/>
        </w:rPr>
        <w:t>,</w:t>
      </w:r>
      <w:r w:rsidRPr="00FF276E">
        <w:t xml:space="preserve"> el reentrenamiento frecuente es más importante para los modelos con </w:t>
      </w:r>
      <w:r w:rsidRPr="006825B8">
        <w:t>características</w:t>
      </w:r>
      <w:r w:rsidRPr="00FF276E">
        <w:t xml:space="preserve"> mutacionales, mientras que los modelos de </w:t>
      </w:r>
      <w:r w:rsidRPr="006825B8">
        <w:t>características</w:t>
      </w:r>
      <w:r w:rsidRPr="00FF276E">
        <w:t xml:space="preserve"> temporales son más robustos al cambio de contexto epidemiológico.</w:t>
      </w:r>
    </w:p>
    <w:p w14:paraId="7FF98741" w14:textId="77777777" w:rsidR="00AE4C5F" w:rsidRPr="00FF276E" w:rsidRDefault="00E35FF3">
      <w:pPr>
        <w:jc w:val="both"/>
      </w:pPr>
      <w:r w:rsidRPr="00FF276E">
        <w:t xml:space="preserve">El diseño de la modulación de </w:t>
      </w:r>
      <w:r w:rsidRPr="006825B8">
        <w:rPr>
          <w:i/>
        </w:rPr>
        <w:t>eficacia biológica</w:t>
      </w:r>
      <w:r w:rsidRPr="00FF276E">
        <w:t xml:space="preserve"> (s_adj = s_emp × w(P_rel)) responde a una decisión de ingeniería consciente: se evita modificar la arquitectura del replicador (cuya física de competición está bien establecida) y en cambio se inyecta la señal de ML como un multiplicador sobre las tasas de entrada. Esta aproximación es conservadora: el ML puede solo modular dentro del rango [0.25, 1.0] de la tasa empírica, nunca invertir una tendencia, lo que la hace robusta ante posibles errores del clasificador.</w:t>
      </w:r>
    </w:p>
    <w:p w14:paraId="22C6CCB7" w14:textId="77777777" w:rsidR="00AE4C5F" w:rsidRPr="00FF276E" w:rsidRDefault="00E35FF3">
      <w:pPr>
        <w:pStyle w:val="Ttulo2"/>
        <w:rPr>
          <w:color w:val="2E74B5"/>
        </w:rPr>
      </w:pPr>
      <w:bookmarkStart w:id="119" w:name="_Toc234787655"/>
      <w:bookmarkStart w:id="120" w:name="_Toc238464682"/>
      <w:r w:rsidRPr="00FF276E">
        <w:rPr>
          <w:color w:val="2E74B5"/>
        </w:rPr>
        <w:t>8.2. Interpretación biológica</w:t>
      </w:r>
      <w:bookmarkEnd w:id="119"/>
      <w:bookmarkEnd w:id="120"/>
    </w:p>
    <w:p w14:paraId="3FA844F3" w14:textId="77777777" w:rsidR="00AE4C5F" w:rsidRPr="00FF276E" w:rsidRDefault="00E35FF3">
      <w:pPr>
        <w:jc w:val="both"/>
      </w:pPr>
      <w:r w:rsidRPr="00FF276E">
        <w:t xml:space="preserve">Los </w:t>
      </w:r>
      <w:r w:rsidRPr="00F0520D">
        <w:rPr>
          <w:i/>
        </w:rPr>
        <w:t>hazard ratios</w:t>
      </w:r>
      <w:r w:rsidRPr="00FF276E">
        <w:t xml:space="preserve"> del modelo Cox PH tienen una lectura biológica directa. Que log_freq_detect sea el predictor más fuerte a nivel de familia (HR=2.245, p&lt;0.001) confirma el principio de selección de barrido: las variantes que emergen con mayor frecuencia inicial ya presentaban ventaja de </w:t>
      </w:r>
      <w:r w:rsidRPr="006825B8">
        <w:rPr>
          <w:i/>
        </w:rPr>
        <w:t>eficacia biológica</w:t>
      </w:r>
      <w:r w:rsidRPr="00FF276E">
        <w:t xml:space="preserve"> en los primeros momentos de circulación, antes de ser detectadas por los sistemas de vigilancia. Este resultado tiene implicaciones prácticas: la secuenciación exhaustiva de las primeras detecciones de una nueva variante es más informativa para predecir su destino que la cuantificación precisa de su tasa de crecimiento posterior.</w:t>
      </w:r>
    </w:p>
    <w:p w14:paraId="3569E828" w14:textId="77777777" w:rsidR="00AE4C5F" w:rsidRPr="00FF276E" w:rsidRDefault="00E35FF3">
      <w:pPr>
        <w:jc w:val="both"/>
      </w:pPr>
      <w:r w:rsidRPr="00FF276E">
        <w:t xml:space="preserve">La no significatividad del crecimiento temprano (log_growth_early, p=0.445 en el Cox de familias, borderline en el de mutaciones p=0.059) es un resultado contraintuitivo pero biológicamente coherente: sugiere que las olas de crecimiento explosivo son frecuentes pero muchas son transitorias. Las variantes que realmente dominan lo hacen de forma sostenida, no necesariamente rápida; el mismo patrón borderline aparece en el log-rank de Kaplan-Meier para familias (p=0.083, 7.3.1). Para un sistema de predicción, esto refuerza que </w:t>
      </w:r>
      <w:r w:rsidRPr="006825B8">
        <w:t>características</w:t>
      </w:r>
      <w:r w:rsidRPr="00FF276E">
        <w:t xml:space="preserve"> de frecuencia acumulada y convergencia (n_families_recent) son más informativas que la velocidad de crecimiento instantánea, tanto en el clasificador LightGBM (7.2.3) como en el modelo de supervivencia.</w:t>
      </w:r>
    </w:p>
    <w:p w14:paraId="3AFC241E" w14:textId="77777777" w:rsidR="00AE4C5F" w:rsidRPr="00FF276E" w:rsidRDefault="00E35FF3">
      <w:pPr>
        <w:jc w:val="both"/>
      </w:pPr>
      <w:r w:rsidRPr="00FF276E">
        <w:lastRenderedPageBreak/>
        <w:t>La convergencia evolutiva en la posición 445 de Spike (V445R en XFG, V445H en NB, V445P en PY) es un ejemplo claro de selección positiva identificable mediante n_families/n_families_recent: tres linajes adoptando distintos aminoácidos de reemplazo en la misma posición, con coocurrencia real bidireccional alta y bajo solapamiento de familias, uno de los casos confirmados como convergencia independiente real en el análisis de coocurrencia (7.1.2). Esto indica que la posición 445 está bajo presión de anticuerpos en la población, y que la sustitución en esa posición confiere ventaja independientemente del aminoácido concreto.</w:t>
      </w:r>
    </w:p>
    <w:p w14:paraId="760267B7" w14:textId="77777777" w:rsidR="00A138F6" w:rsidRPr="00FF276E" w:rsidRDefault="00E35FF3">
      <w:pPr>
        <w:jc w:val="both"/>
      </w:pPr>
      <w:r w:rsidRPr="00FF276E">
        <w:t>El análisis de coocurrencia (7.1.2) también muestra el reverso de esta moneda: de 41 pares de mutaciones con trayectorias muy correlacionadas entre familias distintas, solo 4 son convergencia independiente confirmada como esta; la mayoría (15) resultan ser relaciones de contención o jerarquía genómica, no selección paralela genuina. La convergencia evolutiva real existe y es detectable, pero es más rara de lo que sugeriría mirar solo la correlación de trayectorias.</w:t>
      </w:r>
    </w:p>
    <w:p w14:paraId="5551C8FF" w14:textId="77777777" w:rsidR="00AE4C5F" w:rsidRPr="00FF276E" w:rsidRDefault="00E35FF3">
      <w:pPr>
        <w:pStyle w:val="Ttulo2"/>
        <w:rPr>
          <w:color w:val="2E74B5"/>
        </w:rPr>
      </w:pPr>
      <w:bookmarkStart w:id="121" w:name="_Toc234787656"/>
      <w:bookmarkStart w:id="122" w:name="_Toc238464683"/>
      <w:r w:rsidRPr="00FF276E">
        <w:rPr>
          <w:color w:val="2E74B5"/>
        </w:rPr>
        <w:t>8.3. Limitaciones</w:t>
      </w:r>
      <w:bookmarkEnd w:id="121"/>
      <w:bookmarkEnd w:id="122"/>
    </w:p>
    <w:p w14:paraId="3D98BFAB" w14:textId="77777777" w:rsidR="00AE4C5F" w:rsidRPr="00FF276E" w:rsidRDefault="00E35FF3">
      <w:pPr>
        <w:pStyle w:val="Ttulo3"/>
        <w:rPr>
          <w:color w:val="4F81BD"/>
        </w:rPr>
      </w:pPr>
      <w:bookmarkStart w:id="123" w:name="_Toc234787657"/>
      <w:bookmarkStart w:id="124" w:name="_Toc238464684"/>
      <w:r w:rsidRPr="00FF276E">
        <w:rPr>
          <w:color w:val="4F81BD"/>
        </w:rPr>
        <w:t>8.3.1. Limitaciones de los datos</w:t>
      </w:r>
      <w:bookmarkEnd w:id="123"/>
      <w:bookmarkEnd w:id="124"/>
    </w:p>
    <w:p w14:paraId="27FDE594" w14:textId="77777777" w:rsidR="00AE4C5F" w:rsidRPr="00FF276E" w:rsidRDefault="00E35FF3">
      <w:pPr>
        <w:pStyle w:val="Listaconvietas"/>
        <w:jc w:val="both"/>
      </w:pPr>
      <w:r w:rsidRPr="00FF276E">
        <w:t>Sesgo geográfico de GISAID: algunos países (especialmente de renta baja) están infrarrepresentados. Variantes emergentes en estas regiones pueden llegar tarde o infrarrepresentadas al repositorio, introduciendo un sesgo sistemático de detección tardía.</w:t>
      </w:r>
    </w:p>
    <w:p w14:paraId="525D2C2A" w14:textId="77777777" w:rsidR="00AE4C5F" w:rsidRPr="00FF276E" w:rsidRDefault="00E35FF3">
      <w:pPr>
        <w:pStyle w:val="Listaconvietas"/>
        <w:jc w:val="both"/>
      </w:pPr>
      <w:r w:rsidRPr="00FF276E">
        <w:t xml:space="preserve">Retraso de secuenciación: las secuencias de las últimas 4-6 semanas suelen estar incompletas en el momento del análisis, lo que puede inflar artificialmente la frecuencia de variantes antiguas en el corte de datos. En la práctica, esto se mitigó excluyendo las últimas 4 semanas del cálculo de </w:t>
      </w:r>
      <w:r w:rsidRPr="006825B8">
        <w:t>características</w:t>
      </w:r>
      <w:r w:rsidRPr="00FF276E">
        <w:t xml:space="preserve"> de tendencia.</w:t>
      </w:r>
    </w:p>
    <w:p w14:paraId="5B743972" w14:textId="77777777" w:rsidR="00AE4C5F" w:rsidRPr="00FF276E" w:rsidRDefault="00E35FF3">
      <w:pPr>
        <w:pStyle w:val="Listaconvietas"/>
        <w:jc w:val="both"/>
      </w:pPr>
      <w:r w:rsidRPr="00FF276E">
        <w:t>Calidad variable de la asignación de linajes Pango: la reasignación retroactiva de linajes cuando Nextclade actualiza el árbol filogenético puede crear discontinuidades en las frecuencias históricas. Se mitigó trabajando con la asignación congelada en la fecha de descarga.</w:t>
      </w:r>
    </w:p>
    <w:p w14:paraId="14CCC3BA" w14:textId="77777777" w:rsidR="00AE4C5F" w:rsidRPr="00FF276E" w:rsidRDefault="00E35FF3">
      <w:pPr>
        <w:pStyle w:val="Ttulo3"/>
        <w:rPr>
          <w:color w:val="4F81BD"/>
        </w:rPr>
      </w:pPr>
      <w:bookmarkStart w:id="125" w:name="_Toc234787658"/>
      <w:bookmarkStart w:id="126" w:name="_Toc238464685"/>
      <w:r w:rsidRPr="00FF276E">
        <w:rPr>
          <w:color w:val="4F81BD"/>
        </w:rPr>
        <w:t>8.3.2. Limitaciones del modelo</w:t>
      </w:r>
      <w:bookmarkEnd w:id="125"/>
      <w:bookmarkEnd w:id="126"/>
    </w:p>
    <w:p w14:paraId="0E7D6CF9" w14:textId="77777777" w:rsidR="00AE4C5F" w:rsidRPr="00FF276E" w:rsidRDefault="00E35FF3">
      <w:pPr>
        <w:pStyle w:val="Listaconvietas"/>
        <w:jc w:val="both"/>
      </w:pPr>
      <w:r w:rsidRPr="00FF276E">
        <w:t xml:space="preserve">Incapacidad para predecir variantes </w:t>
      </w:r>
      <w:r w:rsidRPr="006825B8">
        <w:rPr>
          <w:i/>
        </w:rPr>
        <w:t>de novo</w:t>
      </w:r>
      <w:r w:rsidRPr="00FF276E">
        <w:t>: el caso de BA.3.2.2 en abril de 2026 es el ejemplo paradigmático. Cualquier variante que emerja de un linaje residual (&lt;0.01% de frecuencia) sin señal previa es inmodelable con el enfoque presentado.</w:t>
      </w:r>
    </w:p>
    <w:p w14:paraId="7CCA3AFC" w14:textId="77777777" w:rsidR="00AE4C5F" w:rsidRPr="00FF276E" w:rsidRDefault="00E35FF3">
      <w:pPr>
        <w:pStyle w:val="Listaconvietas"/>
        <w:jc w:val="both"/>
      </w:pPr>
      <w:r w:rsidRPr="00FF276E">
        <w:t>Modelo global sin resolución regional: la co-circulación de XFG (dominante en América), NB (dominante en Asia) y BA.3.2.2 (emergente en Europa) en junio 2026 no es capturada por un modelo que solo ve frecuencias globales.</w:t>
      </w:r>
    </w:p>
    <w:p w14:paraId="7545CE07" w14:textId="77777777" w:rsidR="00AE4C5F" w:rsidRPr="00FF276E" w:rsidRDefault="00E35FF3">
      <w:pPr>
        <w:pStyle w:val="Listaconvietas"/>
        <w:jc w:val="both"/>
      </w:pPr>
      <w:r w:rsidRPr="006825B8">
        <w:rPr>
          <w:i/>
        </w:rPr>
        <w:t>Variable objetivo</w:t>
      </w:r>
      <w:r w:rsidRPr="00FF276E">
        <w:t xml:space="preserve"> sin horizonte fijo: la definición "¿alcanzará el umbral alguna vez?" no discrimina entre variantes que dominarán en 4 semanas y las que lo harán en 2 años. El Cox PH mitiga parcialmente esta limitación.</w:t>
      </w:r>
    </w:p>
    <w:p w14:paraId="11FDE5BF" w14:textId="77777777" w:rsidR="00AE4C5F" w:rsidRPr="00FF276E" w:rsidRDefault="00E35FF3">
      <w:pPr>
        <w:pStyle w:val="Listaconvietas"/>
        <w:jc w:val="both"/>
      </w:pPr>
      <w:r w:rsidRPr="00FF276E">
        <w:t>EPV bajo en Cox de familias: con 23 eventos sobre 435 familias, el EPV=7.7 está por debajo del umbral clásico de 10. Los coeficientes son orientativos.</w:t>
      </w:r>
    </w:p>
    <w:p w14:paraId="546385F6" w14:textId="77777777" w:rsidR="00AE4C5F" w:rsidRPr="00FF276E" w:rsidRDefault="00297B49">
      <w:pPr>
        <w:pStyle w:val="Listaconvietas"/>
        <w:jc w:val="both"/>
      </w:pPr>
      <w:r w:rsidRPr="00FF276E">
        <w:lastRenderedPageBreak/>
        <w:t xml:space="preserve">Calibración parcial: la </w:t>
      </w:r>
      <w:r w:rsidRPr="006825B8">
        <w:rPr>
          <w:i/>
        </w:rPr>
        <w:t>priorización</w:t>
      </w:r>
      <w:r w:rsidRPr="00FF276E">
        <w:t xml:space="preserve"> de vigilancia (7.4) usa probabilidad calibrada (IsotonicRegression), mientras que la proyección forward (7.5) usa a propósito la probabilidad cruda, porque solo necesita el orden relativo entre variantes. Las dos partes del sistema no comparten, por tanto, una única probabilidad de referencia: combinarlas numéricamente en el futuro exigiría homogeneizarlas antes.</w:t>
      </w:r>
    </w:p>
    <w:p w14:paraId="09170357" w14:textId="77777777" w:rsidR="00161FE3" w:rsidRDefault="00000000">
      <w:r>
        <w:br w:type="page"/>
      </w:r>
    </w:p>
    <w:p w14:paraId="52E7D355" w14:textId="77777777" w:rsidR="00AE4C5F" w:rsidRPr="00FF276E" w:rsidRDefault="00E35FF3">
      <w:pPr>
        <w:pStyle w:val="Ttulo1"/>
        <w:rPr>
          <w:color w:val="1F497D"/>
        </w:rPr>
      </w:pPr>
      <w:bookmarkStart w:id="127" w:name="_Toc234787659"/>
      <w:bookmarkStart w:id="128" w:name="_Toc238464686"/>
      <w:r w:rsidRPr="00FF276E">
        <w:rPr>
          <w:color w:val="1F497D"/>
        </w:rPr>
        <w:lastRenderedPageBreak/>
        <w:t>9. Conclusiones y Trabajo Futuro</w:t>
      </w:r>
      <w:bookmarkEnd w:id="127"/>
      <w:bookmarkEnd w:id="128"/>
    </w:p>
    <w:p w14:paraId="22A33C99" w14:textId="77777777" w:rsidR="00AE4C5F" w:rsidRPr="00FF276E" w:rsidRDefault="00E35FF3">
      <w:pPr>
        <w:pStyle w:val="Ttulo2"/>
        <w:rPr>
          <w:color w:val="2E74B5"/>
        </w:rPr>
      </w:pPr>
      <w:bookmarkStart w:id="129" w:name="_Toc234787660"/>
      <w:bookmarkStart w:id="130" w:name="_Toc238464687"/>
      <w:r w:rsidRPr="00FF276E">
        <w:rPr>
          <w:color w:val="2E74B5"/>
        </w:rPr>
        <w:t>9.1. Conclusiones técnicas</w:t>
      </w:r>
      <w:bookmarkEnd w:id="129"/>
      <w:bookmarkEnd w:id="130"/>
    </w:p>
    <w:p w14:paraId="6B586F74" w14:textId="77777777" w:rsidR="00AE4C5F" w:rsidRPr="00FF276E" w:rsidRDefault="00E35FF3">
      <w:pPr>
        <w:jc w:val="both"/>
      </w:pPr>
      <w:r w:rsidRPr="00FF276E">
        <w:t>Este trabajo demuestra que es posible construir un sistema de vigilancia genómica predictivo, interpretable y escalable sobre datos públicos de GISAID usando exclusivamente herramientas de código abierto (LightGBM, lifelines, SHAP, scikit-learn). Las conclusiones técnicas principales son:</w:t>
      </w:r>
    </w:p>
    <w:p w14:paraId="3AB8A5FC" w14:textId="77777777" w:rsidR="00AE4C5F" w:rsidRPr="00FF276E" w:rsidRDefault="00E35FF3">
      <w:pPr>
        <w:pStyle w:val="Listaconvietas"/>
        <w:jc w:val="both"/>
      </w:pPr>
      <w:r w:rsidRPr="00FF276E">
        <w:t xml:space="preserve">C.T.1. El clasificador LightGBM con </w:t>
      </w:r>
      <w:r w:rsidRPr="006825B8">
        <w:t>características</w:t>
      </w:r>
      <w:r w:rsidRPr="00FF276E">
        <w:t xml:space="preserve"> temporales (M2) alcanza AUC = 0.886 en </w:t>
      </w:r>
      <w:r w:rsidRPr="002D0178">
        <w:rPr>
          <w:i/>
        </w:rPr>
        <w:t>test</w:t>
      </w:r>
      <w:r w:rsidRPr="00FF276E">
        <w:t xml:space="preserve"> independiente y AUC = 0.877 en </w:t>
      </w:r>
      <w:r w:rsidRPr="000E2107">
        <w:rPr>
          <w:i/>
        </w:rPr>
        <w:t>validación progresiva</w:t>
      </w:r>
      <w:r w:rsidRPr="00FF276E">
        <w:t xml:space="preserve"> por épocas pandémicas (el std más bajo de los cuatro </w:t>
      </w:r>
      <w:r w:rsidRPr="006825B8">
        <w:t>conjuntos de datos</w:t>
      </w:r>
      <w:r w:rsidRPr="00FF276E">
        <w:t xml:space="preserve"> que la admiten, 0.026), con Lift = 4.79x. Este rendimiento es suficiente para un sistema operativo de priorización de recursos de secuenciación.</w:t>
      </w:r>
      <w:r>
        <w:t xml:space="preserve"> La elección de LightGBM frente a estas alternativas se valida empíricamente en 4.4.1: es el algoritmo más consistente en los tres niveles de granularidad del sistema, es decir, en las tres formas de agrupar los datos que usa este TFM (por clado, por familia o por mutación individual), aunque la regresión logística lo iguala o supera a nivel de mutación individual.</w:t>
      </w:r>
    </w:p>
    <w:p w14:paraId="58C47D4D" w14:textId="77777777" w:rsidR="00AE4C5F" w:rsidRPr="00FF276E" w:rsidRDefault="00E35FF3">
      <w:pPr>
        <w:pStyle w:val="Listaconvietas"/>
        <w:jc w:val="both"/>
      </w:pPr>
      <w:r>
        <w:rPr/>
        <w:t xml:space="preserve">C.T.2. El sistema incorpora dos salvaguardas anti-filtración por diseño (censura temporal de etiquetas, </w:t>
      </w:r>
      <w:r>
        <w:rPr>
          <w:i/>
        </w:rPr>
        <w:t>early stopping</w:t>
      </w:r>
      <w:r>
        <w:rPr/>
        <w:t xml:space="preserve"> sobre validación interna nunca sobre </w:t>
      </w:r>
      <w:r>
        <w:rPr>
          <w:i/>
        </w:rPr>
        <w:t>test</w:t>
      </w:r>
      <w:r>
        <w:rPr/>
        <w:t xml:space="preserve">), y su eficacia se verifica empíricamente por el patrón sistemático de que la </w:t>
      </w:r>
      <w:r>
        <w:rPr>
          <w:i/>
        </w:rPr>
        <w:t>validación progresiva</w:t>
      </w:r>
      <w:r>
        <w:rPr/>
        <w:t xml:space="preserve"> es inferior a la </w:t>
      </w:r>
      <w:r>
        <w:rPr>
          <w:i/>
        </w:rPr>
        <w:t>partición</w:t>
      </w:r>
      <w:r>
        <w:rPr/>
        <w:t xml:space="preserve"> en los cuatro </w:t>
      </w:r>
      <w:r>
        <w:rPr/>
        <w:t>conjuntos de datos</w:t>
      </w:r>
      <w:r>
        <w:rPr/>
        <w:t xml:space="preserve"> que la admiten (M2, M2-SPNSP30, M3-SPNSP, M3-ALL). El mismo criterio empírico, solo el experimento controlado y no la intuición, se aplicó sistemáticamente a lo largo de todo el desarrollo del sistema (8.1).</w:t>
      </w:r>
    </w:p>
    <w:p w14:paraId="0507DB20" w14:textId="77777777" w:rsidR="00AE4C5F" w:rsidRPr="00FF276E" w:rsidRDefault="00E35FF3">
      <w:pPr>
        <w:pStyle w:val="Listaconvietas"/>
        <w:jc w:val="both"/>
      </w:pPr>
      <w:r w:rsidRPr="00FF276E">
        <w:t>C.T.</w:t>
      </w:r>
      <w:r w:rsidR="00776068" w:rsidRPr="00FF276E">
        <w:rPr>
          <w:rFonts w:cs="Calibri"/>
        </w:rPr>
        <w:t>3</w:t>
      </w:r>
      <w:r w:rsidRPr="00FF276E">
        <w:t>. El modelo de supervivencia Cox PH alcanza C-índices de 0.684 (familias) y 0.679 (mutaciones) en evaluación in-sample, suficientes para ordenar descriptivamente las variantes por velocidad esperada de dominancia, aunque no validados fuera de muestra por el número limitado de eventos.</w:t>
      </w:r>
    </w:p>
    <w:p w14:paraId="196E2089" w14:textId="77777777" w:rsidR="00AE4C5F" w:rsidRPr="00FF276E" w:rsidRDefault="00E35FF3">
      <w:pPr>
        <w:pStyle w:val="Listaconvietas"/>
        <w:jc w:val="both"/>
      </w:pPr>
      <w:r w:rsidRPr="00FF276E">
        <w:t>C.T.</w:t>
      </w:r>
      <w:r w:rsidR="00776068" w:rsidRPr="00FF276E">
        <w:rPr>
          <w:rFonts w:cs="Calibri"/>
        </w:rPr>
        <w:t>4.</w:t>
      </w:r>
      <w:r w:rsidRPr="00FF276E">
        <w:t xml:space="preserve"> La integración de LightGBM en el replicador log-lineal mediante modulación de </w:t>
      </w:r>
      <w:r w:rsidRPr="006825B8">
        <w:rPr>
          <w:i/>
        </w:rPr>
        <w:t>eficacia biológica</w:t>
      </w:r>
      <w:r w:rsidRPr="00FF276E">
        <w:t xml:space="preserve"> por P_rel (reescalado min-max relativo) es la decisión de diseño que mayor valor añadido aporta a la proyección forward, corrigiendo el principal fallo del modelo de referencia empírico (falso </w:t>
      </w:r>
      <w:r w:rsidRPr="006825B8">
        <w:t>crecimiento desbocado</w:t>
      </w:r>
      <w:r w:rsidRPr="00FF276E">
        <w:t xml:space="preserve"> de PY).</w:t>
      </w:r>
    </w:p>
    <w:p w14:paraId="30E2ED4E" w14:textId="77777777" w:rsidR="00237D4B" w:rsidRPr="00FF276E" w:rsidRDefault="00E35FF3">
      <w:pPr>
        <w:pStyle w:val="Listaconvietas"/>
        <w:jc w:val="both"/>
      </w:pPr>
      <w:r w:rsidRPr="00FF276E">
        <w:t>C.T.</w:t>
      </w:r>
      <w:r w:rsidR="00776068" w:rsidRPr="00FF276E">
        <w:rPr>
          <w:rFonts w:cs="Calibri"/>
        </w:rPr>
        <w:t>5</w:t>
      </w:r>
      <w:r w:rsidRPr="00FF276E">
        <w:t xml:space="preserve">. El análisis SHAP confirma que los modelos aprendieron patrones biológicamente coherentes: convergencia evolutiva reciente (n_families_recent, la </w:t>
      </w:r>
      <w:r w:rsidRPr="006825B8">
        <w:t>característica</w:t>
      </w:r>
      <w:r w:rsidRPr="00FF276E">
        <w:t xml:space="preserve"> de mayor peso de todo M3), posición genómica funcional (position, is_rbd) y perfil de escape inmune acumulado (n_escape_muts, mean_spike_muts) son los predictores dominantes en cada nivel de granularidad.</w:t>
      </w:r>
    </w:p>
    <w:p w14:paraId="0CB69265" w14:textId="77777777" w:rsidR="00AE4C5F" w:rsidRPr="00FF276E" w:rsidRDefault="00E35FF3">
      <w:pPr>
        <w:pStyle w:val="Listaconvietas"/>
        <w:jc w:val="both"/>
      </w:pPr>
      <w:r w:rsidRPr="00FF276E">
        <w:t>C.T.</w:t>
      </w:r>
      <w:r w:rsidR="00776068" w:rsidRPr="00FF276E">
        <w:rPr>
          <w:rFonts w:cs="Calibri"/>
        </w:rPr>
        <w:t>6</w:t>
      </w:r>
      <w:r w:rsidRPr="00FF276E">
        <w:t xml:space="preserve">. Las probabilidades brutas de LightGBM no son comparables a una frecuencia empírica real ni entre </w:t>
      </w:r>
      <w:r w:rsidRPr="006825B8">
        <w:t>conjuntos de datos</w:t>
      </w:r>
      <w:r w:rsidRPr="00FF276E">
        <w:t xml:space="preserve"> con distinta regularización: la </w:t>
      </w:r>
      <w:r w:rsidRPr="006825B8">
        <w:rPr>
          <w:i/>
        </w:rPr>
        <w:t>priorización</w:t>
      </w:r>
      <w:r w:rsidRPr="00FF276E">
        <w:t xml:space="preserve"> de vigilancia calibrada con IsotonicRegression sobre el 20% de validación interna (verificado por quintiles, sin tocar </w:t>
      </w:r>
      <w:r w:rsidRPr="002D0178">
        <w:rPr>
          <w:i/>
        </w:rPr>
        <w:t>test</w:t>
      </w:r>
      <w:r w:rsidRPr="00FF276E">
        <w:t xml:space="preserve">) es </w:t>
      </w:r>
      <w:r w:rsidRPr="00FF276E">
        <w:lastRenderedPageBreak/>
        <w:t xml:space="preserve">una contribución metodológica independiente de las salvaguardas de </w:t>
      </w:r>
      <w:r w:rsidRPr="00634C34">
        <w:rPr>
          <w:i/>
        </w:rPr>
        <w:t>leakage</w:t>
      </w:r>
      <w:r w:rsidRPr="00FF276E">
        <w:t xml:space="preserve"> de C.T.2, necesaria para que los umbrales operativos HIGH/MEDIUM/WATCH signifiquen lo que dicen significar.</w:t>
      </w:r>
    </w:p>
    <w:p w14:paraId="531AE3FD" w14:textId="77777777" w:rsidR="00AE4C5F" w:rsidRPr="00FF276E" w:rsidRDefault="00E35FF3">
      <w:pPr>
        <w:pStyle w:val="Ttulo2"/>
        <w:rPr>
          <w:color w:val="2E74B5"/>
        </w:rPr>
      </w:pPr>
      <w:bookmarkStart w:id="131" w:name="_Toc234787661"/>
      <w:bookmarkStart w:id="132" w:name="_Toc238464688"/>
      <w:r w:rsidRPr="00FF276E">
        <w:rPr>
          <w:color w:val="2E74B5"/>
        </w:rPr>
        <w:t>9.2. Conclusiones biológicas</w:t>
      </w:r>
      <w:bookmarkEnd w:id="131"/>
      <w:bookmarkEnd w:id="132"/>
    </w:p>
    <w:p w14:paraId="49A93CB2" w14:textId="77777777" w:rsidR="00AE4C5F" w:rsidRPr="00FF276E" w:rsidRDefault="00E35FF3">
      <w:pPr>
        <w:pStyle w:val="Listaconvietas"/>
        <w:jc w:val="both"/>
      </w:pPr>
      <w:r w:rsidRPr="00FF276E">
        <w:t>C.B.1. La frecuencia en el momento de detección (HR=2.245, p&lt;0.001) es el predictor más potente de dominancia futura a nivel de familia. Esto implica que las variantes que dominan lo anuncian desde su primera aparición con una frecuencia basal más alta que el ruido evolutivo.</w:t>
      </w:r>
    </w:p>
    <w:p w14:paraId="7C8A660E" w14:textId="77777777" w:rsidR="00AE4C5F" w:rsidRPr="00FF276E" w:rsidRDefault="00E35FF3">
      <w:pPr>
        <w:pStyle w:val="Listaconvietas"/>
        <w:jc w:val="both"/>
      </w:pPr>
      <w:r w:rsidRPr="00FF276E">
        <w:t xml:space="preserve">C.B.2. Las mutaciones en el RBD de Spike tienen </w:t>
      </w:r>
      <w:r w:rsidRPr="00F0520D">
        <w:rPr>
          <w:i/>
        </w:rPr>
        <w:t>hazard ratio</w:t>
      </w:r>
      <w:r w:rsidRPr="00FF276E">
        <w:t xml:space="preserve"> 1.92x respecto a las de otras regiones (p&lt;0.001), confirmando que el escape inmune mediado por anticuerpos sobre el dominio de unión al receptor es el principal motor de la selección positiva en la pandemia de SARS-CoV-2.</w:t>
      </w:r>
    </w:p>
    <w:p w14:paraId="647A2EC7" w14:textId="77777777" w:rsidR="00AE4C5F" w:rsidRPr="00FF276E" w:rsidRDefault="00E35FF3">
      <w:pPr>
        <w:pStyle w:val="Listaconvietas"/>
        <w:jc w:val="both"/>
      </w:pPr>
      <w:r w:rsidRPr="00FF276E">
        <w:t xml:space="preserve">C.B.3. La convergencia evolutiva es el predictor más robusto de fijación de mutaciones individuales tanto en el modelo Cox (n_families, HR=1.272, p&lt;0.001) como en el clasificador LightGBM (n_families_recent, la </w:t>
      </w:r>
      <w:r w:rsidRPr="006825B8">
        <w:t>característica</w:t>
      </w:r>
      <w:r w:rsidRPr="00FF276E">
        <w:t xml:space="preserve"> de mayor peso SHAP de todo M3). Acotar la convergencia a una ventana causal reciente (12 semanas) es más informativo que acumularla sin límite desde la primera detección. Dicho esto, el análisis de coocurrencia real (7.1.2) matiza esta conclusión: de 41 pares de mutaciones con trayectorias muy correlacionadas entre familias Pango distintas, solo 4 se confirman como convergencia independiente genuina; la mayoría (15) resultan ser relaciones de contención genómica, no selección paralela real. La convergencia evolutiva es una señal real y valiosa, pero más rara de lo que sugeriría mirar solo la correlación de trayectorias sin verificar coocurrencia real por secuencia.</w:t>
      </w:r>
    </w:p>
    <w:p w14:paraId="3E6186B3" w14:textId="77777777" w:rsidR="00AE4C5F" w:rsidRPr="00FF276E" w:rsidRDefault="00E35FF3">
      <w:pPr>
        <w:pStyle w:val="Listaconvietas"/>
        <w:jc w:val="both"/>
      </w:pPr>
      <w:r w:rsidRPr="00FF276E">
        <w:t>C.B.4. La convergencia en la posición 445 de Spike entre XFG (V445R), NB (V445H) y PY (V445P) es uno de los 4 casos confirmados de convergencia independiente real en el análisis de coocurrencia (7.1.2): coocurrencia bidireccional alta y bajo solapamiento de familias, evidencia de fuerte presión selectiva sobre ese epítopo concreto. Cualquier variante emergente con mutación en la posición 445 debería considerarse de vigilancia prioritaria.</w:t>
      </w:r>
    </w:p>
    <w:p w14:paraId="3E7944EA" w14:textId="77777777" w:rsidR="00AE4C5F" w:rsidRPr="00FF276E" w:rsidRDefault="00E35FF3">
      <w:pPr>
        <w:pStyle w:val="Listaconvietas"/>
        <w:jc w:val="both"/>
      </w:pPr>
      <w:r w:rsidRPr="00FF276E">
        <w:t>C.B.5. El crecimiento temprano explosivo (log_growth_early) muestra de forma consistente una separación solo borderline o no significativa: p=0.083 en el log-rank de Kaplan-Meier de familias, p=0.445 en el Cox multivariante de familias y p=0.059 en el de mutaciones. La convergencia de este resultado en tres análisis independientes refuerza que un sprint inicial de crecimiento no es, por sí solo, un predictor fiable de dominancia duradera: la frecuencia basal y la convergencia evolutiva son señales más sólidas (C.B.1, C.B.3).</w:t>
      </w:r>
    </w:p>
    <w:p w14:paraId="4D558E36" w14:textId="77777777" w:rsidR="00AE4C5F" w:rsidRPr="00FF276E" w:rsidRDefault="00E35FF3">
      <w:pPr>
        <w:pStyle w:val="Listaconvietas"/>
        <w:jc w:val="both"/>
      </w:pPr>
      <w:r w:rsidRPr="00FF276E">
        <w:t xml:space="preserve">C.B.6. La validación externa confirmó que el margen de error del sistema a partir de +8 semanas proviene de la emergencia de una variante </w:t>
      </w:r>
      <w:r w:rsidRPr="006825B8">
        <w:rPr>
          <w:i/>
        </w:rPr>
        <w:t>de novo</w:t>
      </w:r>
      <w:r w:rsidRPr="00FF276E">
        <w:t xml:space="preserve"> (BA.3.2.2) sin representación en los datos de entrenamiento: este es un límite estructural de cualquier sistema basado en datos históricos, </w:t>
      </w:r>
      <w:r w:rsidR="00404355" w:rsidRPr="00FF276E">
        <w:t xml:space="preserve">que </w:t>
      </w:r>
      <w:r w:rsidRPr="00FF276E">
        <w:t xml:space="preserve">no </w:t>
      </w:r>
      <w:r w:rsidR="00404355" w:rsidRPr="00FF276E">
        <w:rPr>
          <w:rFonts w:cs="Calibri"/>
        </w:rPr>
        <w:t>se corrig</w:t>
      </w:r>
      <w:r w:rsidRPr="00FF276E">
        <w:t xml:space="preserve">e con más datos </w:t>
      </w:r>
      <w:r w:rsidR="00404355" w:rsidRPr="00FF276E">
        <w:rPr>
          <w:rFonts w:cs="Calibri"/>
        </w:rPr>
        <w:t>ni</w:t>
      </w:r>
      <w:r w:rsidRPr="00FF276E">
        <w:t xml:space="preserve"> mejores modelos, y no impidió que el sistema anticipara correctamente la transición XFG-&gt;NB (7.8).</w:t>
      </w:r>
    </w:p>
    <w:p w14:paraId="663D9936" w14:textId="77777777" w:rsidR="00237D4B" w:rsidRPr="00FF276E" w:rsidRDefault="0033718A" w:rsidP="00733C44">
      <w:pPr>
        <w:pStyle w:val="Listaconvietas"/>
        <w:jc w:val="both"/>
      </w:pPr>
      <w:r w:rsidRPr="00FF276E">
        <w:t>C.B.7.</w:t>
      </w:r>
      <w:r w:rsidR="00E35FF3" w:rsidRPr="00FF276E">
        <w:t xml:space="preserve"> La diversidad intra-hospedador (CDH) contiene señales anticipatorias de emergencia poblacional. En haplotipos de alta especificidad mutacional (≤2 clados discordantes), 9/28 pacientes anticiparon variantes Omicron con una mediana de ~45 semanas de antelación (prueba de concepto, n=12 pares). Este resultado confirma que la evolución viral operante en el hospedador </w:t>
      </w:r>
      <w:r w:rsidR="00E35FF3" w:rsidRPr="00FF276E">
        <w:lastRenderedPageBreak/>
        <w:t>individual precede a la visibilidad epidemiológica en GISAID y motiva ampliar la cohorte como vía de vigilancia pre-emergente.</w:t>
      </w:r>
    </w:p>
    <w:p w14:paraId="642BA686" w14:textId="77777777" w:rsidR="00934DB9" w:rsidRPr="00FF276E" w:rsidRDefault="00E35FF3">
      <w:pPr>
        <w:pStyle w:val="Ttulo2"/>
        <w:rPr>
          <w:color w:val="1F497D"/>
        </w:rPr>
      </w:pPr>
      <w:bookmarkStart w:id="133" w:name="_Toc234787662"/>
      <w:bookmarkStart w:id="134" w:name="_Toc238464689"/>
      <w:r w:rsidRPr="00FF276E">
        <w:rPr>
          <w:color w:val="1F497D"/>
        </w:rPr>
        <w:t>9.3. Trabajo futuro</w:t>
      </w:r>
      <w:bookmarkEnd w:id="133"/>
      <w:bookmarkEnd w:id="134"/>
    </w:p>
    <w:p w14:paraId="79A050D2" w14:textId="77777777" w:rsidR="00934DB9" w:rsidRPr="00FF276E" w:rsidRDefault="00934DB9" w:rsidP="00733C44">
      <w:pPr>
        <w:jc w:val="both"/>
      </w:pPr>
      <w:r w:rsidRPr="00FF276E">
        <w:t>Este trabajo abre varias líneas de continuación:</w:t>
      </w:r>
    </w:p>
    <w:p w14:paraId="164988F2" w14:textId="77777777" w:rsidR="00934DB9" w:rsidRPr="00FF276E" w:rsidRDefault="00934DB9" w:rsidP="00733C44">
      <w:pPr>
        <w:pStyle w:val="Listaconvietas"/>
        <w:jc w:val="both"/>
      </w:pPr>
      <w:r w:rsidRPr="00FF276E">
        <w:t xml:space="preserve">Modelos regionales: entrenar modelos por región OMS </w:t>
      </w:r>
      <w:r w:rsidR="00E83CAF">
        <w:t>(o con la región como covariable)</w:t>
      </w:r>
      <w:r w:rsidRPr="00FF276E">
        <w:t>, ya que un modelo global no captura las dinámicas locales (XFG en América, NB en Asia, BA.3.2.2 en Europa); el principal reto es el tamaño muestral en regiones con menos secuenciación.</w:t>
      </w:r>
    </w:p>
    <w:p w14:paraId="1E175ABF" w14:textId="77777777" w:rsidR="00934DB9" w:rsidRPr="00FF276E" w:rsidRDefault="00934DB9" w:rsidP="00733C44">
      <w:pPr>
        <w:pStyle w:val="Listaconvietas"/>
        <w:jc w:val="both"/>
      </w:pPr>
      <w:r w:rsidRPr="00FF276E">
        <w:t xml:space="preserve">Integración de los haplotipos CDH: incorporar como </w:t>
      </w:r>
      <w:r w:rsidRPr="006825B8">
        <w:t>características</w:t>
      </w:r>
      <w:r w:rsidRPr="00FF276E">
        <w:t xml:space="preserve"> del clasificador la señal anticipatoria intra-hospedador (mediana ~45 semanas, prueba de concepto sobre 28 pacientes), lo que requeriría una cohorte de ~200 pacientes para potencia estadística suficiente.</w:t>
      </w:r>
    </w:p>
    <w:p w14:paraId="01011906" w14:textId="77777777" w:rsidR="00934DB9" w:rsidRPr="00FF276E" w:rsidRDefault="00934DB9" w:rsidP="00733C44">
      <w:pPr>
        <w:pStyle w:val="Listaconvietas"/>
        <w:jc w:val="both"/>
      </w:pPr>
      <w:r w:rsidRPr="00FF276E">
        <w:t xml:space="preserve">Reentrenamiento continuo: un ciclo semanal con los últimos seis meses de datos habría incorporado BA.3.2.2 al mostrar señal (enero-febrero 2026), antes de su explosión; exige automatizar la descarga, el cálculo de </w:t>
      </w:r>
      <w:r w:rsidRPr="006825B8">
        <w:t>características</w:t>
      </w:r>
      <w:r w:rsidRPr="00FF276E">
        <w:t xml:space="preserve"> y el reentrenamiento.</w:t>
      </w:r>
    </w:p>
    <w:p w14:paraId="2229A12C" w14:textId="77777777" w:rsidR="00934DB9" w:rsidRPr="00FF276E" w:rsidRDefault="00934DB9" w:rsidP="00733C44">
      <w:pPr>
        <w:pStyle w:val="Listaconvietas"/>
        <w:jc w:val="both"/>
      </w:pPr>
      <w:r w:rsidRPr="00FF276E">
        <w:t xml:space="preserve">Modelos de lenguaje proteico: las </w:t>
      </w:r>
      <w:r w:rsidRPr="006825B8">
        <w:rPr>
          <w:i/>
        </w:rPr>
        <w:t>representaciones vectoriales</w:t>
      </w:r>
      <w:r w:rsidRPr="00FF276E">
        <w:t xml:space="preserve"> de Spike (ESM-2, ProtTrans) podrían anticipar variantes con perfiles mutacionales no observados, como BA.3.2.2, al capturar propiedades estructurales más allá de mutaciones aisladas.</w:t>
      </w:r>
    </w:p>
    <w:p w14:paraId="3218CBFC" w14:textId="77777777" w:rsidR="00934DB9" w:rsidRPr="00FF276E" w:rsidRDefault="00934DB9" w:rsidP="00733C44">
      <w:pPr>
        <w:pStyle w:val="Listaconvietas"/>
        <w:jc w:val="both"/>
      </w:pPr>
      <w:r w:rsidRPr="00FF276E">
        <w:t>Extender la calibración: aplicar la calibración isotónica también a la proyección forward (hoy usa probabilidad cruda) y vigilar su deriva en cada reentrenamiento futuro.</w:t>
      </w:r>
    </w:p>
    <w:p w14:paraId="7C564DF5" w14:textId="77777777" w:rsidR="00AE4C5F" w:rsidRPr="00FF276E" w:rsidRDefault="00934DB9" w:rsidP="00733C44">
      <w:pPr>
        <w:pStyle w:val="Listaconvietas"/>
        <w:jc w:val="both"/>
      </w:pPr>
      <w:r w:rsidRPr="00FF276E">
        <w:t xml:space="preserve">Ampliar la coocurrencia real: extender el análisis por secuencia más allá de las 66 mutaciones actuales </w:t>
      </w:r>
      <w:r w:rsidR="00E83CAF">
        <w:t>(idealmente a tripletas)</w:t>
      </w:r>
      <w:r w:rsidRPr="00FF276E">
        <w:t xml:space="preserve"> y diagnosticar a fondo el solapamiento fit/validación de M2.</w:t>
      </w:r>
    </w:p>
    <w:p w14:paraId="15F9BC89" w14:textId="77777777" w:rsidR="00161FE3" w:rsidRDefault="00000000">
      <w:r>
        <w:br w:type="page"/>
      </w:r>
    </w:p>
    <w:p w14:paraId="28C28DB1" w14:textId="77777777" w:rsidR="00AE4C5F" w:rsidRPr="00FF276E" w:rsidRDefault="00E35FF3">
      <w:pPr>
        <w:pStyle w:val="Ttulo1"/>
        <w:rPr>
          <w:color w:val="1F497D"/>
        </w:rPr>
      </w:pPr>
      <w:bookmarkStart w:id="135" w:name="_Toc234787669"/>
      <w:bookmarkStart w:id="136" w:name="_Toc238464690"/>
      <w:r w:rsidRPr="00FF276E">
        <w:rPr>
          <w:color w:val="1F497D"/>
        </w:rPr>
        <w:lastRenderedPageBreak/>
        <w:t>Referencias</w:t>
      </w:r>
      <w:bookmarkEnd w:id="135"/>
      <w:bookmarkEnd w:id="136"/>
    </w:p>
    <w:p w14:paraId="4AC28270" w14:textId="77777777" w:rsidR="009D554C" w:rsidRDefault="00000000">
      <w:pPr>
        <w:spacing w:after="120"/>
        <w:ind w:left="432" w:hanging="432"/>
        <w:jc w:val="both"/>
      </w:pPr>
      <w:bookmarkStart w:id="137" w:name="ref1"/>
      <w:bookmarkEnd w:id="137"/>
      <w:r>
        <w:t>[1]Harvey, W. T., Carabelli, A. M., Jackson, B. et al. (2021). SARS-CoV-2 variants, spike mutations and immune escape. Nature Reviews Microbiology, 19(7), 409-424.</w:t>
      </w:r>
      <w:hyperlink r:id="rId45" w:history="1">
        <w:r w:rsidR="009D554C">
          <w:rPr>
            <w:rStyle w:val="Hipervnculo"/>
          </w:rPr>
          <w:t>https://doi.org/10.1038/s41579-021-00573-0</w:t>
        </w:r>
      </w:hyperlink>
    </w:p>
    <w:p w14:paraId="2312D2F0" w14:textId="77777777" w:rsidR="009D554C" w:rsidRDefault="00000000">
      <w:pPr>
        <w:spacing w:after="120"/>
        <w:ind w:left="432" w:hanging="432"/>
        <w:jc w:val="both"/>
      </w:pPr>
      <w:bookmarkStart w:id="138" w:name="ref2"/>
      <w:bookmarkEnd w:id="138"/>
      <w:r>
        <w:t>[2]Viana, R., Moyo, S., Amoako, D. G. et al. (2022). Rapid epidemic expansion of the SARS-CoV-2 Omicron variant in southern Africa. Nature, 603, 679-686.</w:t>
      </w:r>
      <w:hyperlink r:id="rId46" w:history="1">
        <w:r w:rsidR="009D554C">
          <w:rPr>
            <w:rStyle w:val="Hipervnculo"/>
          </w:rPr>
          <w:t>https://doi.org/10.1038/s41586-022-04411-y</w:t>
        </w:r>
      </w:hyperlink>
    </w:p>
    <w:p w14:paraId="24330945" w14:textId="77777777" w:rsidR="009D554C" w:rsidRDefault="00000000">
      <w:pPr>
        <w:spacing w:after="120"/>
        <w:ind w:left="432" w:hanging="432"/>
        <w:jc w:val="both"/>
      </w:pPr>
      <w:bookmarkStart w:id="139" w:name="ref3"/>
      <w:bookmarkEnd w:id="139"/>
      <w:r>
        <w:t>[3]Cele, S., Jackson, L., Khoury, D. S. et al. (2022). Omicron extensively but incompletely escapes Pfizer BNT162b2 neutralization. Nature, 602, 654-656.</w:t>
      </w:r>
      <w:hyperlink r:id="rId47" w:history="1">
        <w:r w:rsidR="009D554C">
          <w:rPr>
            <w:rStyle w:val="Hipervnculo"/>
          </w:rPr>
          <w:t>https://doi.org/10.1038/s41586-021-04387-1</w:t>
        </w:r>
      </w:hyperlink>
    </w:p>
    <w:p w14:paraId="54F76BDD" w14:textId="77777777" w:rsidR="009D554C" w:rsidRDefault="00000000">
      <w:pPr>
        <w:spacing w:after="120"/>
        <w:ind w:left="432" w:hanging="432"/>
        <w:jc w:val="both"/>
      </w:pPr>
      <w:bookmarkStart w:id="140" w:name="ref4"/>
      <w:bookmarkEnd w:id="140"/>
      <w:r>
        <w:t>[4]Elbe, S. &amp; Buckland-Merrett, G. (2017). Data, disease and diplomacy: GISAID's innovative contribution to global health. Global Challenges, 1(1), 33-46.</w:t>
      </w:r>
      <w:hyperlink r:id="rId48" w:history="1">
        <w:r w:rsidR="009D554C">
          <w:rPr>
            <w:rStyle w:val="Hipervnculo"/>
          </w:rPr>
          <w:t>https://doi.org/10.1002/gch2.1018</w:t>
        </w:r>
      </w:hyperlink>
    </w:p>
    <w:p w14:paraId="32F1E849" w14:textId="77777777" w:rsidR="009D554C" w:rsidRDefault="00000000">
      <w:pPr>
        <w:spacing w:after="120"/>
        <w:ind w:left="432" w:hanging="432"/>
        <w:jc w:val="both"/>
      </w:pPr>
      <w:bookmarkStart w:id="141" w:name="ref5"/>
      <w:bookmarkEnd w:id="141"/>
      <w:r>
        <w:t>[5]Shu, Y. &amp; McCauley, J. (2017). GISAID: Global initiative on sharing all influenza data – from vision to reality. Eurosurveillance, 22(13), 30494.</w:t>
      </w:r>
      <w:hyperlink r:id="rId49" w:history="1">
        <w:r w:rsidR="009D554C">
          <w:rPr>
            <w:rStyle w:val="Hipervnculo"/>
          </w:rPr>
          <w:t>https://doi.org/10.2807/1560-7917.ES.2017.22.13.30494</w:t>
        </w:r>
      </w:hyperlink>
    </w:p>
    <w:p w14:paraId="0568FAAF" w14:textId="77777777" w:rsidR="009D554C" w:rsidRDefault="00000000">
      <w:pPr>
        <w:spacing w:after="120"/>
        <w:ind w:left="432" w:hanging="432"/>
        <w:jc w:val="both"/>
      </w:pPr>
      <w:bookmarkStart w:id="142" w:name="ref6"/>
      <w:bookmarkEnd w:id="142"/>
      <w:r>
        <w:t>[6]de Ávila, A. I., Soria, M. E., Martínez-González, B., Somovilla, P., Mínguez, P., Salar-Vidal, L. et al. (2025). SARS-CoV-2 biological clones are genetically heterogeneous and include clade-discordant residues. Journal of Virology, 99(5), e0225024.</w:t>
      </w:r>
      <w:hyperlink r:id="rId50" w:history="1">
        <w:r w:rsidR="009D554C">
          <w:rPr>
            <w:rStyle w:val="Hipervnculo"/>
          </w:rPr>
          <w:t>https://doi.org/10.1128/jvi.02250-24</w:t>
        </w:r>
      </w:hyperlink>
    </w:p>
    <w:p w14:paraId="2765CDF6" w14:textId="77777777" w:rsidR="009D554C" w:rsidRDefault="00000000">
      <w:pPr>
        <w:spacing w:after="120"/>
        <w:ind w:left="432" w:hanging="432"/>
        <w:jc w:val="both"/>
      </w:pPr>
      <w:bookmarkStart w:id="143" w:name="ref7"/>
      <w:bookmarkEnd w:id="143"/>
      <w:r>
        <w:t>[7]Martínez-González, B., Soria, M. E., Vázquez-Sirvent, L., Ferrer-Orta, C., Lobo-Vega, R., Mínguez, P. et al. (2022a). SARS-CoV-2 mutant spectra at different depth levels reveal an overwhelming abundance of low frequency mutations. Pathogens, 11(6), 662.</w:t>
      </w:r>
      <w:hyperlink r:id="rId51" w:history="1">
        <w:r w:rsidR="009D554C">
          <w:rPr>
            <w:rStyle w:val="Hipervnculo"/>
          </w:rPr>
          <w:t>https://doi.org/10.3390/pathogens11060662</w:t>
        </w:r>
      </w:hyperlink>
    </w:p>
    <w:p w14:paraId="079B2DAA" w14:textId="77777777" w:rsidR="009D554C" w:rsidRDefault="00000000">
      <w:pPr>
        <w:spacing w:after="120"/>
        <w:ind w:left="432" w:hanging="432"/>
        <w:jc w:val="both"/>
      </w:pPr>
      <w:bookmarkStart w:id="144" w:name="ref8"/>
      <w:bookmarkEnd w:id="144"/>
      <w:r>
        <w:t>[8]Martínez-González, B. et al. (2022b). SARS-CoV-2 point mutation and deletion spectra and their association with different disease outcomes. Microbiology Spectrum, 10(2), e0022122.</w:t>
      </w:r>
      <w:hyperlink r:id="rId52" w:history="1">
        <w:r w:rsidR="009D554C">
          <w:rPr>
            <w:rStyle w:val="Hipervnculo"/>
          </w:rPr>
          <w:t>https://doi.org/10.1128/spectrum.00221-22</w:t>
        </w:r>
      </w:hyperlink>
    </w:p>
    <w:p w14:paraId="67337752" w14:textId="77777777" w:rsidR="009D554C" w:rsidRDefault="00000000">
      <w:pPr>
        <w:spacing w:after="120"/>
        <w:ind w:left="432" w:hanging="432"/>
        <w:jc w:val="both"/>
      </w:pPr>
      <w:bookmarkStart w:id="145" w:name="ref9"/>
      <w:bookmarkEnd w:id="145"/>
      <w:r>
        <w:t>[9]Delgado, S., Somovilla, P., Ferrer-Orta, C., Martínez-González, B., Vázquez-Monteagudo, S., Muñoz-Flores, J. et al. (2024). Incipient functional SARS-CoV-2 diversification identified through neural network haplotype maps. Proceedings of the National Academy of Sciences USA, 121(10), e2317851121.</w:t>
      </w:r>
      <w:hyperlink r:id="rId53" w:history="1">
        <w:r w:rsidR="009D554C">
          <w:rPr>
            <w:rStyle w:val="Hipervnculo"/>
          </w:rPr>
          <w:t>https://doi.org/10.1073/pnas.2317851121</w:t>
        </w:r>
      </w:hyperlink>
    </w:p>
    <w:p w14:paraId="3C757735" w14:textId="77777777" w:rsidR="009D554C" w:rsidRDefault="00000000">
      <w:pPr>
        <w:spacing w:after="120"/>
        <w:ind w:left="432" w:hanging="432"/>
        <w:jc w:val="both"/>
      </w:pPr>
      <w:bookmarkStart w:id="146" w:name="ref10"/>
      <w:bookmarkEnd w:id="146"/>
      <w:r>
        <w:t>[10]Obermeyer, F. et al. (2022). Analysis of 6.4 million SARS-CoV-2 genomes identifies mutations associated with fitness. Science, 376(6599), 1327-1332.</w:t>
      </w:r>
      <w:hyperlink r:id="rId54" w:history="1">
        <w:r w:rsidR="009D554C">
          <w:rPr>
            <w:rStyle w:val="Hipervnculo"/>
          </w:rPr>
          <w:t>https://doi.org/10.1126/science.abm1208</w:t>
        </w:r>
      </w:hyperlink>
    </w:p>
    <w:p w14:paraId="016AEDBF" w14:textId="77777777" w:rsidR="009D554C" w:rsidRDefault="00000000">
      <w:pPr>
        <w:spacing w:after="120"/>
        <w:ind w:left="432" w:hanging="432"/>
        <w:jc w:val="both"/>
      </w:pPr>
      <w:bookmarkStart w:id="147" w:name="ref11"/>
      <w:bookmarkEnd w:id="147"/>
      <w:r>
        <w:t>[11]Thadani, N. N., Gurev, S., Notin, P., Youssef, N., Rollins, N. J., Ritter, A. et al. (2023). Learning from prepandemic data to forecast viral escape. Nature, 622, 818-825.</w:t>
      </w:r>
      <w:hyperlink r:id="rId55" w:history="1">
        <w:r w:rsidR="009D554C">
          <w:rPr>
            <w:rStyle w:val="Hipervnculo"/>
          </w:rPr>
          <w:t>https://doi.org/10.1038/s41586-023-06617-0</w:t>
        </w:r>
      </w:hyperlink>
    </w:p>
    <w:p w14:paraId="7E2F626B" w14:textId="77777777" w:rsidR="009D554C" w:rsidRDefault="00000000">
      <w:pPr>
        <w:spacing w:after="120"/>
        <w:ind w:left="432" w:hanging="432"/>
        <w:jc w:val="both"/>
      </w:pPr>
      <w:bookmarkStart w:id="148" w:name="ref12"/>
      <w:bookmarkEnd w:id="148"/>
      <w:r>
        <w:t>[12]Ramachandran, P., Vasan, K., Lensink, M. F. &amp; Thorne, L. H. (2024). PandoGen: predicting future COVID-19 sequences. PLOS Computational Biology, 20(1), e1011790.</w:t>
      </w:r>
      <w:hyperlink r:id="rId56" w:history="1">
        <w:r w:rsidR="009D554C">
          <w:rPr>
            <w:rStyle w:val="Hipervnculo"/>
          </w:rPr>
          <w:t>https://doi.org/10.1371/journal.pcbi.1011790</w:t>
        </w:r>
      </w:hyperlink>
    </w:p>
    <w:p w14:paraId="7ADF9F40" w14:textId="77777777" w:rsidR="009D554C" w:rsidRDefault="00000000">
      <w:pPr>
        <w:spacing w:after="120"/>
        <w:ind w:left="432" w:hanging="432"/>
        <w:jc w:val="both"/>
      </w:pPr>
      <w:bookmarkStart w:id="149" w:name="ref13"/>
      <w:bookmarkEnd w:id="149"/>
      <w:r>
        <w:lastRenderedPageBreak/>
        <w:t>[13]Marathe, V., Bajracharya, D. &amp; Yan, C. (2024). VirusT5: Harnessing Large Language Models to Predict SARS-CoV-2 Evolution. arXiv preprint arXiv:2412.16262.</w:t>
      </w:r>
    </w:p>
    <w:p w14:paraId="6FED53B5" w14:textId="77777777" w:rsidR="009D554C" w:rsidRDefault="00000000">
      <w:pPr>
        <w:spacing w:after="120"/>
        <w:ind w:left="432" w:hanging="432"/>
        <w:jc w:val="both"/>
      </w:pPr>
      <w:bookmarkStart w:id="150" w:name="ref14"/>
      <w:bookmarkEnd w:id="150"/>
      <w:r>
        <w:t>[14]Dhodapkar, R. M. (2023). A deep generative model of the SARS-CoV-2 spike protein predicts future variants. bioRxiv (preprint).</w:t>
      </w:r>
      <w:hyperlink r:id="rId57" w:history="1">
        <w:r w:rsidR="009D554C">
          <w:rPr>
            <w:rStyle w:val="Hipervnculo"/>
          </w:rPr>
          <w:t>https://doi.org/10.1101/2023.01.17.524472</w:t>
        </w:r>
      </w:hyperlink>
    </w:p>
    <w:p w14:paraId="7EB13186" w14:textId="77777777" w:rsidR="009D554C" w:rsidRDefault="00000000">
      <w:pPr>
        <w:spacing w:after="120"/>
        <w:ind w:left="432" w:hanging="432"/>
        <w:jc w:val="both"/>
      </w:pPr>
      <w:bookmarkStart w:id="151" w:name="ref15"/>
      <w:bookmarkEnd w:id="151"/>
      <w:r>
        <w:t>[15]Han, W., Chen, N., Xu, X. et al. (2023). Predicting the antigenic evolution of SARS-CoV-2 with deep learning. Nature Communications, 14, 3478.</w:t>
      </w:r>
      <w:hyperlink r:id="rId58" w:history="1">
        <w:r w:rsidR="009D554C">
          <w:rPr>
            <w:rStyle w:val="Hipervnculo"/>
          </w:rPr>
          <w:t>https://doi.org/10.1038/s41467-023-39199-6</w:t>
        </w:r>
      </w:hyperlink>
    </w:p>
    <w:p w14:paraId="6EC5DBBC" w14:textId="77777777" w:rsidR="009D554C" w:rsidRDefault="00000000">
      <w:pPr>
        <w:spacing w:after="120"/>
        <w:ind w:left="432" w:hanging="432"/>
        <w:jc w:val="both"/>
      </w:pPr>
      <w:bookmarkStart w:id="152" w:name="ref16"/>
      <w:bookmarkEnd w:id="152"/>
      <w:r>
        <w:t>[16]Dadonaite, B., Brown, J., McMahon, T. E. et al. (2024). Spike deep mutational scanning helps predict success of SARS-CoV-2 clades. Nature, 631, 617-626.</w:t>
      </w:r>
      <w:hyperlink r:id="rId59" w:history="1">
        <w:r w:rsidR="009D554C">
          <w:rPr>
            <w:rStyle w:val="Hipervnculo"/>
          </w:rPr>
          <w:t>https://doi.org/10.1038/s41586-024-07636-1</w:t>
        </w:r>
      </w:hyperlink>
    </w:p>
    <w:p w14:paraId="378BB774" w14:textId="77777777" w:rsidR="009D554C" w:rsidRDefault="00000000">
      <w:pPr>
        <w:spacing w:after="120"/>
        <w:ind w:left="432" w:hanging="432"/>
        <w:jc w:val="both"/>
      </w:pPr>
      <w:bookmarkStart w:id="153" w:name="ref17"/>
      <w:bookmarkEnd w:id="153"/>
      <w:r>
        <w:t>[17]Rancati, S., Nicora, G., Prosperi, M., Bellazzi, R., Salemi, M. &amp; Marini, S. (2024). Forecasting dominance of SARS-CoV-2 lineages by anomaly detection using deep AutoEncoders. Briefings in Bioinformatics, 25(6), bbae535.</w:t>
      </w:r>
      <w:hyperlink r:id="rId60" w:history="1">
        <w:r w:rsidR="009D554C">
          <w:rPr>
            <w:rStyle w:val="Hipervnculo"/>
          </w:rPr>
          <w:t>https://doi.org/10.1093/bib/bbae535</w:t>
        </w:r>
      </w:hyperlink>
    </w:p>
    <w:p w14:paraId="0609B63C" w14:textId="77777777" w:rsidR="009D554C" w:rsidRDefault="00000000">
      <w:pPr>
        <w:spacing w:after="120"/>
        <w:ind w:left="432" w:hanging="432"/>
        <w:jc w:val="both"/>
      </w:pPr>
      <w:bookmarkStart w:id="154" w:name="ref18"/>
      <w:bookmarkEnd w:id="154"/>
      <w:r>
        <w:t>[18]Agarwal, P., Yogarayan, S. &amp; Sayeed, M. S. (2026). FluEvoFormer: A Structure-Guided Generative Foundation Model for Prospective Influenza Antigenic Evolution and Vaccine Strain Selection. Viruses, 18(8), 843.</w:t>
      </w:r>
      <w:hyperlink r:id="rId61" w:history="1">
        <w:r w:rsidR="009D554C">
          <w:rPr>
            <w:rStyle w:val="Hipervnculo"/>
          </w:rPr>
          <w:t>https://doi.org/10.3390/v18080843</w:t>
        </w:r>
      </w:hyperlink>
    </w:p>
    <w:p w14:paraId="3DA0CE26" w14:textId="77777777" w:rsidR="009D554C" w:rsidRDefault="00000000">
      <w:pPr>
        <w:spacing w:after="120"/>
        <w:ind w:left="432" w:hanging="432"/>
        <w:jc w:val="both"/>
      </w:pPr>
      <w:bookmarkStart w:id="155" w:name="ref19"/>
      <w:bookmarkEnd w:id="155"/>
      <w:r>
        <w:t>[19]Levi, R., Zerhouni, E. G. &amp; Altuvia, S. (2024). Predicting the spread of SARS-CoV-2 variants: An artificial intelligence enabled early detection. PNAS Nexus, 3(1), pgad424.</w:t>
      </w:r>
      <w:hyperlink r:id="rId62" w:history="1">
        <w:r w:rsidR="009D554C">
          <w:rPr>
            <w:rStyle w:val="Hipervnculo"/>
          </w:rPr>
          <w:t>https://doi.org/10.1093/pnasnexus/pgad424</w:t>
        </w:r>
      </w:hyperlink>
    </w:p>
    <w:p w14:paraId="5D11640A" w14:textId="77777777" w:rsidR="009D554C" w:rsidRDefault="00000000">
      <w:pPr>
        <w:spacing w:after="120"/>
        <w:ind w:left="432" w:hanging="432"/>
        <w:jc w:val="both"/>
      </w:pPr>
      <w:bookmarkStart w:id="156" w:name="ref20"/>
      <w:bookmarkEnd w:id="156"/>
      <w:r>
        <w:t>[20]Li, L., Li, C., Li, N., Zou, D., Zhao, W., Luo, H., Xue, Y., Zhang, Z., Bao, Y. &amp; Song, S. (2024). Machine Learning Early Detection of SARS-CoV-2 High-Risk Variants. Advanced Science, 11(45).</w:t>
      </w:r>
      <w:hyperlink r:id="rId63" w:history="1">
        <w:r w:rsidR="009D554C">
          <w:rPr>
            <w:rStyle w:val="Hipervnculo"/>
          </w:rPr>
          <w:t>https://doi.org/10.1002/advs.202405058</w:t>
        </w:r>
      </w:hyperlink>
    </w:p>
    <w:p w14:paraId="7F37C479" w14:textId="77777777" w:rsidR="009D554C" w:rsidRDefault="00000000">
      <w:pPr>
        <w:spacing w:after="120"/>
        <w:ind w:left="432" w:hanging="432"/>
        <w:jc w:val="both"/>
      </w:pPr>
      <w:bookmarkStart w:id="157" w:name="ref21"/>
      <w:bookmarkEnd w:id="157"/>
      <w:r>
        <w:t>[21]Kirschbaum, C., Kongkitimanon, K., Frank, S., Hölzer, M., Paraskevopoulou, S. &amp; Richard, H. (2025). VirusWarn: A mutation-based early warning system to prioritize concerning SARS-CoV-2 and influenza virus variants from sequencing data. Computational and Structural Biotechnology Journal, 27, 1081-1088.</w:t>
      </w:r>
      <w:hyperlink r:id="rId64" w:history="1">
        <w:r w:rsidR="009D554C">
          <w:rPr>
            <w:rStyle w:val="Hipervnculo"/>
          </w:rPr>
          <w:t>https://doi.org/10.1016/j.csbj.2025.03.010</w:t>
        </w:r>
      </w:hyperlink>
    </w:p>
    <w:p w14:paraId="197944EE" w14:textId="77777777" w:rsidR="009D554C" w:rsidRDefault="00000000">
      <w:pPr>
        <w:spacing w:after="120"/>
        <w:ind w:left="432" w:hanging="432"/>
        <w:jc w:val="both"/>
      </w:pPr>
      <w:bookmarkStart w:id="158" w:name="ref22"/>
      <w:bookmarkEnd w:id="158"/>
      <w:r>
        <w:t>[22]Norwood, K., Deng, Z. L., Reimering, S., Robertson, G., Foroughmand-Araabi, M. H., Goliaei, S., Hölzer, M., Klawonn, F. &amp; McHardy, A. C. (2025). In silico genomic surveillance by CoVerage predicts and characterizes SARS-CoV-2 variants of interest. Nature Communications, 16, 6281.</w:t>
      </w:r>
      <w:hyperlink r:id="rId65" w:history="1">
        <w:r w:rsidR="009D554C">
          <w:rPr>
            <w:rStyle w:val="Hipervnculo"/>
          </w:rPr>
          <w:t>https://doi.org/10.1038/s41467-025-60231-4</w:t>
        </w:r>
      </w:hyperlink>
    </w:p>
    <w:p w14:paraId="5C561263" w14:textId="77777777" w:rsidR="009D554C" w:rsidRDefault="00000000">
      <w:pPr>
        <w:spacing w:after="120"/>
        <w:ind w:left="432" w:hanging="432"/>
        <w:jc w:val="both"/>
      </w:pPr>
      <w:bookmarkStart w:id="159" w:name="ref23"/>
      <w:bookmarkEnd w:id="159"/>
      <w:r>
        <w:t>[23]Ke, G. et al. (2017). LightGBM: A highly efficient gradient boosting decision tree. Advances in Neural Information Processing Systems (NeurIPS), 30.</w:t>
      </w:r>
      <w:hyperlink r:id="rId66" w:history="1">
        <w:r w:rsidR="009D554C">
          <w:rPr>
            <w:rStyle w:val="Hipervnculo"/>
          </w:rPr>
          <w:t>https://proceedings.neurips.cc/paper/2017/hash/6449f44a102fde848669bdd9eb6b76fa-Abstract.html</w:t>
        </w:r>
      </w:hyperlink>
    </w:p>
    <w:p w14:paraId="6D0C3515" w14:textId="77777777" w:rsidR="009D554C" w:rsidRDefault="00000000">
      <w:pPr>
        <w:spacing w:after="120"/>
        <w:ind w:left="432" w:hanging="432"/>
        <w:jc w:val="both"/>
      </w:pPr>
      <w:bookmarkStart w:id="160" w:name="ref24"/>
      <w:bookmarkEnd w:id="160"/>
      <w:r>
        <w:lastRenderedPageBreak/>
        <w:t>[24]Miao, M., De Clercq, E. &amp; Li, G. (2022). Towards Efficient and Accurate SARS-CoV-2 Genome Sequence Typing Based on Supervised Learning Approaches. Microorganisms, 10(9), 1785.</w:t>
      </w:r>
      <w:hyperlink r:id="rId67" w:history="1">
        <w:r w:rsidR="009D554C">
          <w:rPr>
            <w:rStyle w:val="Hipervnculo"/>
          </w:rPr>
          <w:t>https://doi.org/10.3390/microorganisms10091785</w:t>
        </w:r>
      </w:hyperlink>
    </w:p>
    <w:p w14:paraId="085D4DA9" w14:textId="77777777" w:rsidR="009D554C" w:rsidRDefault="00000000">
      <w:pPr>
        <w:spacing w:after="120"/>
        <w:ind w:left="432" w:hanging="432"/>
        <w:jc w:val="both"/>
      </w:pPr>
      <w:bookmarkStart w:id="161" w:name="ref25"/>
      <w:bookmarkEnd w:id="161"/>
      <w:r>
        <w:t>[25]Zhang, L., Shi, J., Ouyang, J., Zhang, R., Tao, Y., Yuan, D., Lv, C., Wang, R., Ning, B., Roberts, R., Tong, W., Liu, Z. &amp; Shi, T. (2021). X-CNV: genome-wide prediction of the pathogenicity of copy number variations. Genome Medicine, 13, 132.</w:t>
      </w:r>
      <w:hyperlink r:id="rId68" w:history="1">
        <w:r w:rsidR="009D554C">
          <w:rPr>
            <w:rStyle w:val="Hipervnculo"/>
          </w:rPr>
          <w:t>https://doi.org/10.1186/s13073-021-00945-4</w:t>
        </w:r>
      </w:hyperlink>
    </w:p>
    <w:p w14:paraId="7E78F693" w14:textId="77777777" w:rsidR="009D554C" w:rsidRDefault="00000000">
      <w:pPr>
        <w:spacing w:after="120"/>
        <w:ind w:left="432" w:hanging="432"/>
        <w:jc w:val="both"/>
      </w:pPr>
      <w:bookmarkStart w:id="162" w:name="ref26"/>
      <w:bookmarkEnd w:id="162"/>
      <w:r>
        <w:t>[26]Dehghan Tezerjani, M., Sehhati, M. &amp; Tabatabaiefar, M. A. (2026). MetaXVP: an interpretable machine learning framework for deep insight into variant pathogenicity and VUS classification. Scientific Reports, 16, 20251.</w:t>
      </w:r>
      <w:hyperlink r:id="rId69" w:history="1">
        <w:r w:rsidR="009D554C">
          <w:rPr>
            <w:rStyle w:val="Hipervnculo"/>
          </w:rPr>
          <w:t>https://doi.org/10.1038/s41598-026-50032-0</w:t>
        </w:r>
      </w:hyperlink>
    </w:p>
    <w:p w14:paraId="01986FB9" w14:textId="77777777" w:rsidR="009D554C" w:rsidRDefault="00000000">
      <w:pPr>
        <w:spacing w:after="120"/>
        <w:ind w:left="432" w:hanging="432"/>
        <w:jc w:val="both"/>
      </w:pPr>
      <w:bookmarkStart w:id="163" w:name="ref27"/>
      <w:bookmarkEnd w:id="163"/>
      <w:r>
        <w:t>[27]Pellegrino, E., Camilla, C., Abbou, N., Beaufils, N., Pissier, C., Gabert, J., Nanni-Metellus, I. &amp; Ouafik, L. (2023). Extreme Gradient Boosting Tuned with Metaheuristic Algorithms for Predicting Myeloid NGS Onco-Somatic Variant Pathogenicity. Bioengineering, 10(7), 753.</w:t>
      </w:r>
      <w:hyperlink r:id="rId70" w:history="1">
        <w:r w:rsidR="009D554C">
          <w:rPr>
            <w:rStyle w:val="Hipervnculo"/>
          </w:rPr>
          <w:t>https://doi.org/10.3390/bioengineering10070753</w:t>
        </w:r>
      </w:hyperlink>
    </w:p>
    <w:p w14:paraId="5002CBAC" w14:textId="77777777" w:rsidR="009D554C" w:rsidRDefault="00000000">
      <w:pPr>
        <w:spacing w:after="120"/>
        <w:ind w:left="432" w:hanging="432"/>
        <w:jc w:val="both"/>
      </w:pPr>
      <w:bookmarkStart w:id="164" w:name="ref28"/>
      <w:bookmarkEnd w:id="164"/>
      <w:r>
        <w:t>[28]Cox, D. R. (1972). Regression models and life tables. Journal of the Royal Statistical Society, Series B, 34(2), 187-220.</w:t>
      </w:r>
      <w:hyperlink r:id="rId71" w:history="1">
        <w:r w:rsidR="009D554C">
          <w:rPr>
            <w:rStyle w:val="Hipervnculo"/>
          </w:rPr>
          <w:t>https://doi.org/10.1111/j.2517-6161.1972.tb00899.x</w:t>
        </w:r>
      </w:hyperlink>
    </w:p>
    <w:p w14:paraId="164C598F" w14:textId="77777777" w:rsidR="009D554C" w:rsidRDefault="00000000">
      <w:pPr>
        <w:spacing w:after="120"/>
        <w:ind w:left="432" w:hanging="432"/>
        <w:jc w:val="both"/>
      </w:pPr>
      <w:bookmarkStart w:id="165" w:name="ref29"/>
      <w:bookmarkEnd w:id="165"/>
      <w:r>
        <w:t>[29]Lawyer, G., Altmann, A., Thielen, A., Zazzi, M., Sönnerborg, A. &amp; Lengauer, T. (2011). HIV-1 mutational pathways under multidrug therapy. AIDS Research and Therapy, 8, 26.</w:t>
      </w:r>
      <w:hyperlink r:id="rId72" w:history="1">
        <w:r w:rsidR="009D554C">
          <w:rPr>
            <w:rStyle w:val="Hipervnculo"/>
          </w:rPr>
          <w:t>https://doi.org/10.1186/1742-6405-8-26</w:t>
        </w:r>
      </w:hyperlink>
    </w:p>
    <w:p w14:paraId="0A147A40" w14:textId="77777777" w:rsidR="009D554C" w:rsidRDefault="00000000">
      <w:pPr>
        <w:spacing w:after="120"/>
        <w:ind w:left="432" w:hanging="432"/>
        <w:jc w:val="both"/>
      </w:pPr>
      <w:bookmarkStart w:id="166" w:name="ref30"/>
      <w:bookmarkEnd w:id="166"/>
      <w:r>
        <w:t>[30]Koelle, K., Kamradt, M. &amp; Pascual, M. (2009). Understanding the dynamics of rapidly evolving pathogens through modeling the tempo of antigenic change: influenza as a case study. Epidemics, 1(2), 129-137.</w:t>
      </w:r>
      <w:hyperlink r:id="rId73" w:history="1">
        <w:r w:rsidR="009D554C">
          <w:rPr>
            <w:rStyle w:val="Hipervnculo"/>
          </w:rPr>
          <w:t>https://doi.org/10.1016/j.epidem.2009.05.003</w:t>
        </w:r>
      </w:hyperlink>
    </w:p>
    <w:p w14:paraId="4EA29EAC" w14:textId="77777777" w:rsidR="009D554C" w:rsidRDefault="00000000">
      <w:pPr>
        <w:spacing w:after="120"/>
        <w:ind w:left="432" w:hanging="432"/>
        <w:jc w:val="both"/>
      </w:pPr>
      <w:bookmarkStart w:id="167" w:name="ref31"/>
      <w:bookmarkEnd w:id="167"/>
      <w:r>
        <w:t>[31]Hayashi, H., Okada, Y., Kayano, T., Hayashi, K., Kobayashi, T. &amp; Nishiura, H. (2026). Modeling the emergence of divergent mutants of SARS-CoV-2, "Omicron-like events": A time-to-event analysis. Journal of Infection and Public Health, 19(3), 103140.</w:t>
      </w:r>
      <w:hyperlink r:id="rId74" w:history="1">
        <w:r w:rsidR="009D554C">
          <w:rPr>
            <w:rStyle w:val="Hipervnculo"/>
          </w:rPr>
          <w:t>https://doi.org/10.1016/j.jiph.2026.103140</w:t>
        </w:r>
      </w:hyperlink>
    </w:p>
    <w:p w14:paraId="4FAE19E1" w14:textId="77777777" w:rsidR="009D554C" w:rsidRDefault="00000000">
      <w:pPr>
        <w:spacing w:after="120"/>
        <w:ind w:left="432" w:hanging="432"/>
        <w:jc w:val="both"/>
      </w:pPr>
      <w:bookmarkStart w:id="168" w:name="ref32"/>
      <w:bookmarkEnd w:id="168"/>
      <w:r>
        <w:t>[32]Awasthi, S., Zolfaghari Dehkharghani, M. &amp; Fudolig, M. (2025). Emergence to dominance: Estimating time to dominance of SARS-CoV-2 variants using nonlinear statistical models. PLOS ONE, 20(4), e0311459.</w:t>
      </w:r>
      <w:hyperlink r:id="rId75" w:history="1">
        <w:r w:rsidR="009D554C">
          <w:rPr>
            <w:rStyle w:val="Hipervnculo"/>
          </w:rPr>
          <w:t>https://doi.org/10.1371/journal.pone.0311459</w:t>
        </w:r>
      </w:hyperlink>
    </w:p>
    <w:p w14:paraId="6523AE11" w14:textId="77777777" w:rsidR="009D554C" w:rsidRDefault="00000000">
      <w:pPr>
        <w:spacing w:after="120"/>
        <w:ind w:left="432" w:hanging="432"/>
        <w:jc w:val="both"/>
      </w:pPr>
      <w:bookmarkStart w:id="169" w:name="ref33"/>
      <w:bookmarkEnd w:id="169"/>
      <w:r>
        <w:t>[33]Choi, B., Choudhary, M. C., Regan, J., Sparks, J. A., Padera, R. F., Qiu, X., Solomon, I. H. et al. (2020). Persistence and Evolution of SARS-CoV-2 in an Immunocompromised Host. New England Journal of Medicine, 383(23), 2291-2293.</w:t>
      </w:r>
      <w:hyperlink r:id="rId76" w:history="1">
        <w:r w:rsidR="009D554C">
          <w:rPr>
            <w:rStyle w:val="Hipervnculo"/>
          </w:rPr>
          <w:t>https://doi.org/10.1056/NEJMc2031364</w:t>
        </w:r>
      </w:hyperlink>
    </w:p>
    <w:p w14:paraId="24D9C082" w14:textId="77777777" w:rsidR="009D554C" w:rsidRDefault="00000000">
      <w:pPr>
        <w:spacing w:after="120"/>
        <w:ind w:left="432" w:hanging="432"/>
        <w:jc w:val="both"/>
      </w:pPr>
      <w:bookmarkStart w:id="170" w:name="ref34"/>
      <w:bookmarkEnd w:id="170"/>
      <w:r>
        <w:t>[34]Kemp, S. A., Collier, D. A., Datir, R. P., Ferreira, I. A. T. M., Gayed, S., Jahun, A., Hosmillo, M. et al. (2021). SARS-CoV-2 evolution during treatment of chronic infection. Nature, 592(7853), 277-282.</w:t>
      </w:r>
      <w:hyperlink r:id="rId77" w:history="1">
        <w:r w:rsidR="009D554C">
          <w:rPr>
            <w:rStyle w:val="Hipervnculo"/>
          </w:rPr>
          <w:t>https://doi.org/10.1038/s41586-021-03291-y</w:t>
        </w:r>
      </w:hyperlink>
    </w:p>
    <w:p w14:paraId="50BAF824" w14:textId="77777777" w:rsidR="009D554C" w:rsidRDefault="00000000">
      <w:pPr>
        <w:spacing w:after="120"/>
        <w:ind w:left="432" w:hanging="432"/>
        <w:jc w:val="both"/>
      </w:pPr>
      <w:bookmarkStart w:id="171" w:name="ref35"/>
      <w:bookmarkEnd w:id="171"/>
      <w:r>
        <w:t xml:space="preserve">[35]Lythgoe, K. A., Hall, M., Ferretti, L., de Cesare, M., MacIntyre-Cockett, G., Trebes, A., Andersson, M. et al. (Oxford Virus Sequencing Analysis Group; COVID-19 Genomics UK (COG-UK) Consortium) </w:t>
      </w:r>
      <w:r>
        <w:lastRenderedPageBreak/>
        <w:t>(2021). SARS-CoV-2 within-host diversity and transmission. Science, 372(6539), eabg0821.</w:t>
      </w:r>
      <w:hyperlink r:id="rId78" w:history="1">
        <w:r w:rsidR="009D554C">
          <w:rPr>
            <w:rStyle w:val="Hipervnculo"/>
          </w:rPr>
          <w:t>https://doi.org/10.1126/science.abg0821</w:t>
        </w:r>
      </w:hyperlink>
    </w:p>
    <w:p w14:paraId="2FCE70C5" w14:textId="77777777" w:rsidR="009D554C" w:rsidRDefault="00000000">
      <w:pPr>
        <w:spacing w:after="120"/>
        <w:ind w:left="432" w:hanging="432"/>
        <w:jc w:val="both"/>
      </w:pPr>
      <w:bookmarkStart w:id="172" w:name="ref36"/>
      <w:bookmarkEnd w:id="172"/>
      <w:r>
        <w:t>[36]Valesano, A. L., Rumfelt, K. E., Dimcheff, D. E., Blair, C. N., Fitzsimmons, W. J., Petrie, J. G., Martin, E. T. &amp; Lauring, A. S. (2021). Temporal dynamics of SARS-CoV-2 mutation accumulation within and across infected hosts. PLOS Pathogens, 17(4), e1009499.</w:t>
      </w:r>
      <w:hyperlink r:id="rId79" w:history="1">
        <w:r w:rsidR="009D554C">
          <w:rPr>
            <w:rStyle w:val="Hipervnculo"/>
          </w:rPr>
          <w:t>https://doi.org/10.1371/journal.ppat.1009499</w:t>
        </w:r>
      </w:hyperlink>
    </w:p>
    <w:p w14:paraId="1DC8FA6E" w14:textId="77777777" w:rsidR="009D554C" w:rsidRDefault="00000000">
      <w:pPr>
        <w:spacing w:after="120"/>
        <w:ind w:left="432" w:hanging="432"/>
        <w:jc w:val="both"/>
      </w:pPr>
      <w:bookmarkStart w:id="173" w:name="ref37"/>
      <w:bookmarkEnd w:id="173"/>
      <w:r>
        <w:t>[37]McCrone, J. T., Woods, R. J., Martin, E. T., Malosh, R. E., Monto, A. S. &amp; Lauring, A. S. (2018). Stochastic processes constrain the within and between host evolution of influenza virus. eLife, 7, e35962.</w:t>
      </w:r>
      <w:hyperlink r:id="rId80" w:history="1">
        <w:r w:rsidR="009D554C">
          <w:rPr>
            <w:rStyle w:val="Hipervnculo"/>
          </w:rPr>
          <w:t>https://doi.org/10.7554/eLife.35962</w:t>
        </w:r>
      </w:hyperlink>
    </w:p>
    <w:p w14:paraId="423BFEAA" w14:textId="77777777" w:rsidR="009D554C" w:rsidRDefault="00000000">
      <w:pPr>
        <w:spacing w:after="120"/>
        <w:ind w:left="432" w:hanging="432"/>
        <w:jc w:val="both"/>
      </w:pPr>
      <w:bookmarkStart w:id="174" w:name="ref38"/>
      <w:bookmarkEnd w:id="174"/>
      <w:r>
        <w:t>[38]Ferrer-Orta, C., Vázquez-Monteagudo, S., Ferrero, D. S., Martínez-González, B., Perales, C., Domingo, E. et al. (2024). Point mutations at specific sites of the nsp12-nsp8 interface dramatically affect the RNA polymerization activity of SARS-CoV-2. Proceedings of the National Academy of Sciences USA, 121(29), e2317977121.</w:t>
      </w:r>
      <w:hyperlink r:id="rId81" w:history="1">
        <w:r w:rsidR="009D554C">
          <w:rPr>
            <w:rStyle w:val="Hipervnculo"/>
          </w:rPr>
          <w:t>https://doi.org/10.1073/pnas.2317977121</w:t>
        </w:r>
      </w:hyperlink>
    </w:p>
    <w:p w14:paraId="12A59C26" w14:textId="77777777" w:rsidR="009D554C" w:rsidRDefault="00000000">
      <w:pPr>
        <w:spacing w:after="120"/>
        <w:ind w:left="432" w:hanging="432"/>
        <w:jc w:val="both"/>
      </w:pPr>
      <w:bookmarkStart w:id="175" w:name="ref39"/>
      <w:bookmarkEnd w:id="175"/>
      <w:r>
        <w:t>[39]Dong, X., Matthews, D. A., Gallo, G., Darby, A., Donovan-Banfield, I., Goldswain, H., MacGill, T., Myers, T., Orr, R., Bailey, D., Carroll, M. W. &amp; Hiscox, J. A. (2025). Using minor variant genomes and machine learning to study the genome biology of SARS-CoV-2 over time. Nucleic Acids Research, 53(4), gkaf077.</w:t>
      </w:r>
      <w:hyperlink r:id="rId82" w:history="1">
        <w:r w:rsidR="009D554C">
          <w:rPr>
            <w:rStyle w:val="Hipervnculo"/>
          </w:rPr>
          <w:t>https://doi.org/10.1093/nar/gkaf077</w:t>
        </w:r>
      </w:hyperlink>
    </w:p>
    <w:p w14:paraId="76640FDB" w14:textId="77777777" w:rsidR="009D554C" w:rsidRDefault="00000000">
      <w:pPr>
        <w:spacing w:after="120"/>
        <w:ind w:left="432" w:hanging="432"/>
        <w:jc w:val="both"/>
      </w:pPr>
      <w:bookmarkStart w:id="176" w:name="ref40"/>
      <w:bookmarkEnd w:id="176"/>
      <w:r>
        <w:t>[40]Rambaut, A. et al. (2020). A dynamic nomenclature proposal for SARS-CoV-2 lineages to assist genomic epidemiology. Nature Microbiology, 5, 1403-1407.</w:t>
      </w:r>
      <w:hyperlink r:id="rId83" w:history="1">
        <w:r w:rsidR="009D554C">
          <w:rPr>
            <w:rStyle w:val="Hipervnculo"/>
          </w:rPr>
          <w:t>https://doi.org/10.1038/s41564-020-0770-5</w:t>
        </w:r>
      </w:hyperlink>
    </w:p>
    <w:p w14:paraId="77C12B48" w14:textId="77777777" w:rsidR="009D554C" w:rsidRDefault="00000000">
      <w:pPr>
        <w:spacing w:after="120"/>
        <w:ind w:left="432" w:hanging="432"/>
        <w:jc w:val="both"/>
      </w:pPr>
      <w:bookmarkStart w:id="177" w:name="ref41"/>
      <w:bookmarkEnd w:id="177"/>
      <w:r>
        <w:t>[41]Aksamentov, I. et al. (2021). Nextclade: clade assignment, mutation calling and quality control for viral genomes. Journal of Open Source Software, 6(67), 3773.</w:t>
      </w:r>
      <w:hyperlink r:id="rId84" w:history="1">
        <w:r w:rsidR="009D554C">
          <w:rPr>
            <w:rStyle w:val="Hipervnculo"/>
          </w:rPr>
          <w:t>https://doi.org/10.21105/joss.03773</w:t>
        </w:r>
      </w:hyperlink>
    </w:p>
    <w:p w14:paraId="48A66A8F" w14:textId="77777777" w:rsidR="009D554C" w:rsidRDefault="00000000">
      <w:pPr>
        <w:spacing w:after="120"/>
        <w:ind w:left="432" w:hanging="432"/>
        <w:jc w:val="both"/>
      </w:pPr>
      <w:bookmarkStart w:id="178" w:name="ref42"/>
      <w:bookmarkEnd w:id="178"/>
      <w:r>
        <w:t>[42]Barnes, C. O. et al. (2020). SARS-CoV-2 neutralizing antibody structures inform therapeutic strategies. Nature, 588, 682-687.</w:t>
      </w:r>
      <w:hyperlink r:id="rId85" w:history="1">
        <w:r w:rsidR="009D554C">
          <w:rPr>
            <w:rStyle w:val="Hipervnculo"/>
          </w:rPr>
          <w:t>https://doi.org/10.1038/s41586-020-2852-1</w:t>
        </w:r>
      </w:hyperlink>
    </w:p>
    <w:p w14:paraId="3352BE1A" w14:textId="77777777" w:rsidR="009D554C" w:rsidRDefault="00000000">
      <w:pPr>
        <w:spacing w:after="120"/>
        <w:ind w:left="432" w:hanging="432"/>
        <w:jc w:val="both"/>
      </w:pPr>
      <w:bookmarkStart w:id="179" w:name="ref43"/>
      <w:bookmarkEnd w:id="179"/>
      <w:r>
        <w:t>[43]Davidson, A. et al. (2025). Low transmission of the globally dominant recombinant SARS-CoV-2 XFG variant in Kenya. medRxiv (preprint).</w:t>
      </w:r>
    </w:p>
    <w:p w14:paraId="0853B03C" w14:textId="77777777" w:rsidR="009D554C" w:rsidRDefault="00000000">
      <w:pPr>
        <w:spacing w:after="120"/>
        <w:ind w:left="432" w:hanging="432"/>
        <w:jc w:val="both"/>
      </w:pPr>
      <w:bookmarkStart w:id="180" w:name="ref44"/>
      <w:bookmarkEnd w:id="180"/>
      <w:r>
        <w:t>[44]Lundberg, S. M. &amp; Lee, S. I. (2017). A unified approach to interpreting model predictions (SHAP). Advances in Neural Information Processing Systems (NeurIPS), 30.</w:t>
      </w:r>
      <w:hyperlink r:id="rId86" w:history="1">
        <w:r w:rsidR="009D554C">
          <w:rPr>
            <w:rStyle w:val="Hipervnculo"/>
          </w:rPr>
          <w:t>https://proceedings.neurips.cc/paper/2017/hash/8a20a8621978632d76c43dfd28b67767-Abstract.html</w:t>
        </w:r>
      </w:hyperlink>
    </w:p>
    <w:p w14:paraId="0D9C9789" w14:textId="77777777" w:rsidR="009D554C" w:rsidRDefault="00000000">
      <w:pPr>
        <w:spacing w:after="120"/>
        <w:ind w:left="432" w:hanging="432"/>
        <w:jc w:val="both"/>
      </w:pPr>
      <w:bookmarkStart w:id="181" w:name="ref45"/>
      <w:bookmarkEnd w:id="181"/>
      <w:r>
        <w:t>[45]Kaplan, E. L. &amp; Meier, P. (1958). Nonparametric estimation from incomplete observations. Journal of the American Statistical Association, 53(282), 457-481.</w:t>
      </w:r>
      <w:hyperlink r:id="rId87" w:history="1">
        <w:r w:rsidR="009D554C">
          <w:rPr>
            <w:rStyle w:val="Hipervnculo"/>
          </w:rPr>
          <w:t>https://doi.org/10.1080/01621459.1958.10501452</w:t>
        </w:r>
      </w:hyperlink>
    </w:p>
    <w:p w14:paraId="4B6E1CEA" w14:textId="77777777" w:rsidR="009D554C" w:rsidRDefault="00000000">
      <w:pPr>
        <w:spacing w:after="120"/>
        <w:ind w:left="432" w:hanging="432"/>
        <w:jc w:val="both"/>
      </w:pPr>
      <w:bookmarkStart w:id="182" w:name="ref46"/>
      <w:bookmarkEnd w:id="182"/>
      <w:r>
        <w:t>[46]Simon, N. et al. (2011). Regularization paths for Cox's proportional hazards model via coordinate descent. Journal of Statistical Software, 39(5), 1-13.</w:t>
      </w:r>
      <w:hyperlink r:id="rId88" w:history="1">
        <w:r w:rsidR="009D554C">
          <w:rPr>
            <w:rStyle w:val="Hipervnculo"/>
          </w:rPr>
          <w:t>https://doi.org/10.18637/jss.v039.i05</w:t>
        </w:r>
      </w:hyperlink>
    </w:p>
    <w:p w14:paraId="5A58150C" w14:textId="77777777" w:rsidR="009D554C" w:rsidRDefault="00000000">
      <w:pPr>
        <w:spacing w:after="120"/>
        <w:ind w:left="432" w:hanging="432"/>
        <w:jc w:val="both"/>
      </w:pPr>
      <w:bookmarkStart w:id="183" w:name="ref47"/>
      <w:bookmarkEnd w:id="183"/>
      <w:r>
        <w:lastRenderedPageBreak/>
        <w:t>[47]Davidson-Pilon, C. (2019). Lifelines: Survival analysis in Python. Journal of Open Source Software, 4(40), 1317.</w:t>
      </w:r>
      <w:hyperlink r:id="rId89" w:history="1">
        <w:r w:rsidR="009D554C">
          <w:rPr>
            <w:rStyle w:val="Hipervnculo"/>
          </w:rPr>
          <w:t>https://doi.org/10.21105/joss.01317</w:t>
        </w:r>
      </w:hyperlink>
    </w:p>
    <w:p w14:paraId="002C579D" w14:textId="77777777" w:rsidR="009D554C" w:rsidRDefault="00000000">
      <w:pPr>
        <w:spacing w:after="120"/>
        <w:ind w:left="432" w:hanging="432"/>
        <w:jc w:val="both"/>
      </w:pPr>
      <w:bookmarkStart w:id="184" w:name="ref48"/>
      <w:bookmarkEnd w:id="184"/>
      <w:r>
        <w:t>[48]ECDC (2026). SARS-CoV-2 variants of concern as of 29 May 2026. European Centre for Disease Prevention and Control.</w:t>
      </w:r>
      <w:hyperlink r:id="rId90" w:history="1">
        <w:r w:rsidR="009D554C">
          <w:rPr>
            <w:rStyle w:val="Hipervnculo"/>
          </w:rPr>
          <w:t>https://www.ecdc.europa.eu/en/covid-19/variants-concern</w:t>
        </w:r>
      </w:hyperlink>
    </w:p>
    <w:p w14:paraId="4029C4E1" w14:textId="77777777" w:rsidR="009D554C" w:rsidRDefault="00000000">
      <w:pPr>
        <w:spacing w:after="120"/>
        <w:ind w:left="432" w:hanging="432"/>
        <w:jc w:val="both"/>
      </w:pPr>
      <w:bookmarkStart w:id="185" w:name="ref49"/>
      <w:bookmarkEnd w:id="185"/>
      <w:r>
        <w:t>[49]Roemer, C. et al. (2026). SARS-CoV-2 variant reports. Neherlab, abril 2026.</w:t>
      </w:r>
      <w:hyperlink r:id="rId91" w:history="1">
        <w:r w:rsidR="009D554C">
          <w:rPr>
            <w:rStyle w:val="Hipervnculo"/>
          </w:rPr>
          <w:t>https://github.com/neherlab/SARS-CoV-2_variant-reports</w:t>
        </w:r>
      </w:hyperlink>
    </w:p>
    <w:p w14:paraId="1D72B0FA" w14:textId="77777777" w:rsidR="009D554C" w:rsidRDefault="00000000">
      <w:pPr>
        <w:spacing w:after="120"/>
        <w:ind w:left="432" w:hanging="432"/>
        <w:jc w:val="both"/>
      </w:pPr>
      <w:bookmarkStart w:id="186" w:name="ref50"/>
      <w:bookmarkEnd w:id="186"/>
      <w:r>
        <w:t>[50]Public Health Ontario (2026). SARS-CoV-2 Genomic Surveillance in Ontario, May 4, 2026.</w:t>
      </w:r>
      <w:hyperlink r:id="rId92" w:history="1">
        <w:r w:rsidR="009D554C">
          <w:rPr>
            <w:rStyle w:val="Hipervnculo"/>
          </w:rPr>
          <w:t>https://www.publichealthontario.ca/en/laboratory-services/public-health-genomics</w:t>
        </w:r>
      </w:hyperlink>
    </w:p>
    <w:p w14:paraId="53FC2263" w14:textId="77777777" w:rsidR="009D554C" w:rsidRDefault="00000000">
      <w:pPr>
        <w:spacing w:after="120"/>
        <w:ind w:left="432" w:hanging="432"/>
        <w:jc w:val="both"/>
      </w:pPr>
      <w:bookmarkStart w:id="187" w:name="ref51"/>
      <w:bookmarkEnd w:id="187"/>
      <w:r>
        <w:t>[51]WHO (2025). WHO TAG-VE Risk Evaluation for SARS-CoV-2 Variant Under Monitoring: XFG. Junio 2025.</w:t>
      </w:r>
    </w:p>
    <w:p w14:paraId="0AC01951" w14:textId="77777777" w:rsidR="00161FE3" w:rsidRDefault="00000000">
      <w:r>
        <w:br w:type="page"/>
      </w:r>
    </w:p>
    <w:p w14:paraId="0697FABE" w14:textId="77777777" w:rsidR="00AE4C5F" w:rsidRPr="00FF276E" w:rsidRDefault="00E35FF3">
      <w:pPr>
        <w:pStyle w:val="Ttulo1"/>
        <w:rPr>
          <w:color w:val="1F497D"/>
        </w:rPr>
      </w:pPr>
      <w:bookmarkStart w:id="188" w:name="_Toc234787670"/>
      <w:bookmarkStart w:id="189" w:name="_Toc238464691"/>
      <w:r w:rsidRPr="00FF276E">
        <w:rPr>
          <w:color w:val="1F497D"/>
        </w:rPr>
        <w:lastRenderedPageBreak/>
        <w:t>Apéndice A: Parámetros del modelo y configuración técnica</w:t>
      </w:r>
      <w:bookmarkEnd w:id="188"/>
      <w:bookmarkEnd w:id="189"/>
    </w:p>
    <w:p w14:paraId="0F7AF4FD" w14:textId="77777777" w:rsidR="00AE4C5F" w:rsidRPr="00FF276E" w:rsidRDefault="00E35FF3">
      <w:pPr>
        <w:pStyle w:val="Ttulo2"/>
        <w:rPr>
          <w:color w:val="2E74B5"/>
        </w:rPr>
      </w:pPr>
      <w:bookmarkStart w:id="190" w:name="_Toc234787671"/>
      <w:bookmarkStart w:id="191" w:name="_Toc238464692"/>
      <w:bookmarkStart w:id="900000" w:name="apxA1"/>
      <w:r w:rsidRPr="00FF276E">
        <w:rPr>
          <w:color w:val="2E74B5"/>
        </w:rPr>
        <w:t>A.1. Hiperparámetros LightGBM</w:t>
      </w:r>
      <w:bookmarkEnd w:id="190"/>
      <w:bookmarkEnd w:id="191"/>
      <w:bookmarkEnd w:id="900000"/>
    </w:p>
    <w:p w14:paraId="7B153698" w14:textId="77777777" w:rsidR="00237D4B" w:rsidRPr="00FF276E" w:rsidRDefault="00FA5F32">
      <w:pPr>
        <w:jc w:val="both"/>
      </w:pPr>
      <w:r w:rsidRPr="00FF276E">
        <w:t>El clasificador LightGBM emplea una configuración deliberadamente conservadora para evitar el sobreajuste: árboles poco profundos (num_leaves=31), tasa de aprendizaje baja (0.05) compensada con early stopping, submuestreo del 80% de filas y de columnas por árbol, y regularización L1/L2. El desbalanceo de clases se corrige con scale_pos_weight (de 1.4x a 10.4x según el dataset). Sobre esta base se emplean dos variantes: PARAMS_SMALL, más restrictiva, para los datasets con menos muestra (M1 y derivados, n_train≈700); y PARAMS_M2, con mayor regularización, para M2 y M2-SPNSP30, adoptada tras comprobar que la configuración base sobreajustaba (gap de 0.154-0.170). PARAMS_M2 mejoró a la vez el AUC de test y el gap train-test (7.2.2, 8.1).</w:t>
      </w:r>
    </w:p>
    <w:p w14:paraId="77DC5742" w14:textId="77777777" w:rsidR="00AE4C5F" w:rsidRPr="00FF276E" w:rsidRDefault="00AE4C5F">
      <w:pPr>
        <w:jc w:val="both"/>
      </w:pPr>
    </w:p>
    <w:p w14:paraId="5B0C6A7F" w14:textId="77777777" w:rsidR="00AE4C5F" w:rsidRPr="00FF276E" w:rsidRDefault="00E35FF3">
      <w:pPr>
        <w:pStyle w:val="Ttulo2"/>
        <w:rPr>
          <w:color w:val="2E74B5"/>
        </w:rPr>
      </w:pPr>
      <w:bookmarkStart w:id="192" w:name="_Toc234787672"/>
      <w:bookmarkStart w:id="193" w:name="_Toc238464693"/>
      <w:r w:rsidRPr="00FF276E">
        <w:rPr>
          <w:color w:val="2E74B5"/>
        </w:rPr>
        <w:t>A.2. Configuración del sistema Cox PH (lifelines)</w:t>
      </w:r>
      <w:bookmarkEnd w:id="192"/>
      <w:bookmarkEnd w:id="193"/>
    </w:p>
    <w:p w14:paraId="065E7D28" w14:textId="77777777" w:rsidR="00237D4B" w:rsidRPr="00FF276E" w:rsidRDefault="00FA5F32">
      <w:pPr>
        <w:jc w:val="both"/>
      </w:pPr>
      <w:r w:rsidRPr="00FF276E">
        <w:t xml:space="preserve">El modelo de supervivencia Cox PH se implementó con la librería lifelines (Davidson-Pilon, 2019). Usa regularización L2 (penalizer=0.1, Ridge) para estabilizar los coeficientes ante el bajo número de eventos por variable, conservando todas las covariables. El evento de dominancia se define como frecuencia ≥10% para familias y ≥30% para mutaciones, y se censuran en la fecha de corte (2026-02-09) las variantes que no lo alcanzan. Para las predicciones se usa predict_partial_hazard </w:t>
      </w:r>
      <w:r w:rsidR="00E83CAF">
        <w:t>(siempre finito)</w:t>
      </w:r>
      <w:r w:rsidRPr="00FF276E">
        <w:t xml:space="preserve"> en lugar de la mediana de supervivencia, que diverge cuando la tasa de eventos es baja.</w:t>
      </w:r>
    </w:p>
    <w:p>
      <w:pPr>
        <w:pStyle w:val="Ttulo2"/>
        <w:rPr>
          <w:color w:val="2E74B5"/>
        </w:rPr>
      </w:pPr>
      <w:bookmarkStart w:id="900001" w:name="apxA3"/>
      <w:r>
        <w:rPr>
          <w:color w:val="2E74B5"/>
        </w:rPr>
        <w:t>A.3. Definición formal de la variable objetivo</w:t>
      </w:r>
      <w:bookmarkEnd w:id="900001"/>
    </w:p>
    <w:p>
      <w:pPr>
        <w:jc w:val="both"/>
      </w:pPr>
      <w:r>
        <w:rPr/>
        <w:t>La variable objetivo (4.1) se define formalmente como:</w:t>
      </w:r>
    </w:p>
    <w:p>
      <w:pPr>
        <w:jc w:val="both"/>
      </w:pPr>
      <w:r>
        <w:rPr>
          <w:i/>
        </w:rPr>
        <w:t>target</w:t>
      </w:r>
      <w:r>
        <w:rPr/>
        <w:t xml:space="preserve"> = 1  si  max(freq[T+4 .. fin]) &gt;= UMBRAL_DOMINANCIA  (sin horizonte fijo)</w:t>
      </w:r>
    </w:p>
    <w:p>
      <w:pPr>
        <w:jc w:val="both"/>
      </w:pPr>
      <w:r>
        <w:rPr/>
        <w:t>Para evitar la filtración de información futura (4.3), la censura temporal se aplica en el momento de construir cada ejemplo de entrenamiento:</w:t>
      </w:r>
    </w:p>
    <w:p>
      <w:pPr>
        <w:jc w:val="both"/>
      </w:pPr>
      <w:r>
        <w:rPr>
          <w:i/>
        </w:rPr>
        <w:t>target_train</w:t>
      </w:r>
      <w:r>
        <w:rPr/>
        <w:t xml:space="preserve"> = 1  solo si  el umbral se cruzó ANTES de la fecha de corte de entrenamiento (2023-06-01)</w:t>
      </w:r>
    </w:p>
    <w:p>
      <w:pPr>
        <w:jc w:val="both"/>
      </w:pPr>
      <w:r>
        <w:rPr/>
        <w:t>Es decir, cada ejemplo de entrenamiento solo "conoce" el desenlace real de una variante si ese desenlace ya había ocurrido en el momento en que se construye ese ejemplo concreto, nunca antes.</w:t>
      </w:r>
    </w:p>
    <w:p>
      <w:pPr>
        <w:pStyle w:val="Ttulo2"/>
        <w:rPr>
          <w:color w:val="2E74B5"/>
        </w:rPr>
      </w:pPr>
      <w:bookmarkStart w:id="900002" w:name="apxA4"/>
      <w:r>
        <w:rPr>
          <w:color w:val="2E74B5"/>
        </w:rPr>
        <w:t>A.4. Protocolo de validación progresiva por épocas pandémicas</w:t>
      </w:r>
      <w:bookmarkEnd w:id="900002"/>
    </w:p>
    <w:p>
      <w:pPr>
        <w:jc w:val="both"/>
      </w:pPr>
      <w:r>
        <w:rPr/>
        <w:t>El protocolo de validación progresiva (4.4) sigue, en cada uno de los cinco folds k, las siguientes reglas:</w:t>
      </w:r>
    </w:p>
    <w:p>
      <w:pPr>
        <w:jc w:val="both"/>
      </w:pPr>
      <w:r>
        <w:rPr/>
        <w:t>1. El modelo se entrena sobre todos los datos hasta el inicio de la época k+1.</w:t>
      </w:r>
    </w:p>
    <w:p>
      <w:pPr>
        <w:jc w:val="both"/>
      </w:pPr>
      <w:r>
        <w:rPr/>
        <w:t>2. Se evalúa exclusivamente sobre los datos de la época k+1.</w:t>
      </w:r>
    </w:p>
    <w:p>
      <w:pPr>
        <w:jc w:val="both"/>
      </w:pPr>
      <w:r>
        <w:rPr/>
        <w:t>3. Las etiquetas se censuran al inicio de la época k+1 (no se usa información posterior).</w:t>
      </w:r>
    </w:p>
    <w:p>
      <w:pPr>
        <w:jc w:val="both"/>
      </w:pPr>
      <w:r>
        <w:rPr/>
        <w:t xml:space="preserve">4. El </w:t>
      </w:r>
      <w:r>
        <w:rPr>
          <w:i/>
        </w:rPr>
        <w:t>early stopping</w:t>
      </w:r>
      <w:r>
        <w:rPr/>
        <w:t xml:space="preserve"> usa el 20% temporal del conjunto de entrenamiento, no el </w:t>
      </w:r>
      <w:r>
        <w:rPr>
          <w:i/>
        </w:rPr>
        <w:t>test</w:t>
      </w:r>
      <w:r>
        <w:rPr/>
        <w:t>.</w:t>
      </w:r>
    </w:p>
    <w:p>
      <w:pPr/>
      <w:r>
        <w:br w:type="page"/>
      </w:r>
    </w:p>
    <w:p>
      <w:pPr>
        <w:pStyle w:val="Ttulo1"/>
        <w:rPr>
          <w:color w:val="1F497D"/>
        </w:rPr>
      </w:pPr>
      <w:r>
        <w:rPr>
          <w:color w:val="1F497D"/>
        </w:rPr>
        <w:t>Apéndice B: Ingeniería de características, detalle completo</w:t>
      </w:r>
    </w:p>
    <w:p>
      <w:pPr>
        <w:pStyle w:val="Ttulo2"/>
        <w:rPr>
          <w:color w:val="2E74B5"/>
        </w:rPr>
      </w:pPr>
      <w:bookmarkStart w:id="900003" w:name="apxB1"/>
      <w:r>
        <w:rPr>
          <w:color w:val="2E74B5"/>
        </w:rPr>
        <w:t>B.1. Listado completo de características temporales (15 variables)</w:t>
      </w:r>
      <w:bookmarkEnd w:id="900003"/>
    </w:p>
    <w:p>
      <w:pPr>
        <w:jc w:val="both"/>
      </w:pPr>
      <w:r>
        <w:rPr/>
        <w:t>Las 15 características temporales (6.1) se organizan en cinco grupos:</w:t>
      </w:r>
    </w:p>
    <w:p>
      <w:pPr>
        <w:jc w:val="both"/>
      </w:pPr>
      <w:r>
        <w:rPr>
          <w:i/>
        </w:rPr>
        <w:t xml:space="preserve">1. Nivel de frecuencia: </w:t>
      </w:r>
      <w:r>
        <w:rPr/>
        <w:t>frecuencia actual, de 2 y 4 semanas atrás, media y desviación en 8 semanas; sitúa el estado presente de la variante.</w:t>
      </w:r>
    </w:p>
    <w:p>
      <w:pPr>
        <w:jc w:val="both"/>
      </w:pPr>
      <w:r>
        <w:rPr>
          <w:i/>
        </w:rPr>
        <w:t xml:space="preserve">2. Tendencia: </w:t>
      </w:r>
      <w:r>
        <w:rPr/>
        <w:t>pendientes lineales a 4 y 8 semanas y su aceleración; capta la dirección del movimiento.</w:t>
      </w:r>
    </w:p>
    <w:p>
      <w:pPr>
        <w:jc w:val="both"/>
      </w:pPr>
      <w:r>
        <w:rPr>
          <w:i/>
        </w:rPr>
        <w:t xml:space="preserve">3. Crecimiento logarítmico: </w:t>
      </w:r>
      <w:r>
        <w:rPr/>
        <w:t>a 4 y 8 semanas, un proxy directo de la ventaja de eficacia biológica.</w:t>
      </w:r>
    </w:p>
    <w:p>
      <w:pPr>
        <w:jc w:val="both"/>
      </w:pPr>
      <w:r>
        <w:rPr>
          <w:i/>
        </w:rPr>
        <w:t xml:space="preserve">4. Persistencia y madurez: </w:t>
      </w:r>
      <w:r>
        <w:rPr/>
        <w:t>semanas activas, antigüedad desde la primera detección y máximo histórico de frecuencia.</w:t>
      </w:r>
    </w:p>
    <w:p>
      <w:pPr>
        <w:jc w:val="both"/>
      </w:pPr>
      <w:r>
        <w:rPr>
          <w:i/>
        </w:rPr>
        <w:t xml:space="preserve">5. Expansión geográfica: </w:t>
      </w:r>
      <w:r>
        <w:rPr/>
        <w:t>número de países con detección y su variación reciente.</w:t>
      </w:r>
    </w:p>
    <w:p>
      <w:pPr>
        <w:pStyle w:val="Ttulo2"/>
        <w:rPr>
          <w:color w:val="2E74B5"/>
        </w:rPr>
      </w:pPr>
      <w:bookmarkStart w:id="900004" w:name="apxB2"/>
      <w:r>
        <w:rPr>
          <w:color w:val="2E74B5"/>
        </w:rPr>
        <w:t>B.2. Ablation de características candidatas en M3-SPNSP</w:t>
      </w:r>
      <w:bookmarkEnd w:id="900004"/>
    </w:p>
    <w:p>
      <w:pPr>
        <w:jc w:val="both"/>
      </w:pPr>
      <w:r>
        <w:rPr/>
        <w:t>Durante el desarrollo se probaron tres características adicionales que finalmente no entraron en el modelo final de M3-SPNSP (6.4), tras comprobar su efecto real mediante ablation sistemático, no por intuición:</w:t>
      </w:r>
    </w:p>
    <w:p>
      <w:pPr>
        <w:jc w:val="both"/>
      </w:pPr>
      <w:r>
        <w:rPr>
          <w:i/>
        </w:rPr>
        <w:t xml:space="preserve">cooc_partner_strength </w:t>
      </w:r>
      <w:r>
        <w:rPr/>
        <w:t xml:space="preserve">(coocurrencia con otras mutaciones destacadas): parecía prometedora, pero el modelo la aprovechaba para memorizar identidades concretas de mutaciones ya conocidas en vez de generalizar. El AUC de </w:t>
      </w:r>
      <w:r>
        <w:rPr>
          <w:i/>
        </w:rPr>
        <w:t>test</w:t>
      </w:r>
      <w:r>
        <w:rPr/>
        <w:t xml:space="preserve"> caía de 0.9203 a 0.865-0.876 al incluirla; al retirarla, volvió a 0.9265.</w:t>
      </w:r>
    </w:p>
    <w:p>
      <w:pPr>
        <w:jc w:val="both"/>
      </w:pPr>
      <w:r>
        <w:rPr>
          <w:i/>
        </w:rPr>
        <w:t xml:space="preserve">blosum_change </w:t>
      </w:r>
      <w:r>
        <w:rPr/>
        <w:t xml:space="preserve">(severidad bioquímica de la sustitución) e </w:t>
      </w:r>
      <w:r>
        <w:rPr>
          <w:i/>
        </w:rPr>
        <w:t xml:space="preserve">is_indel </w:t>
      </w:r>
      <w:r>
        <w:rPr/>
        <w:t xml:space="preserve">(si la mutación es una inserción o deleción): ninguna destacaba entre las cinco características más influyentes de ningún conjunto de datos. Quitarlas apenas cambió el AUC (-0.0014) pero redujo a la mitad la </w:t>
      </w:r>
      <w:r>
        <w:rPr>
          <w:i/>
        </w:rPr>
        <w:t>diferencia</w:t>
      </w:r>
      <w:r>
        <w:rPr/>
        <w:t xml:space="preserve"> entre entrenamiento y </w:t>
      </w:r>
      <w:r>
        <w:rPr>
          <w:i/>
        </w:rPr>
        <w:t>test</w:t>
      </w:r>
      <w:r>
        <w:rPr/>
        <w:t xml:space="preserve"> (de 0.054 a 0.027; Figura 6.1).</w:t>
      </w:r>
    </w:p>
    <w:p w14:paraId="71F41409" w14:textId="77777777" w:rsidR="00D55AC7" w:rsidRDefault="00D55AC7" w:rsidP="00D55AC7">
      <w:pPr>
        <w:pStyle w:val="Ttulo1"/>
        <w:rPr>
          <w:color w:val="1F497D"/>
        </w:rPr>
      </w:pPr>
      <w:r>
        <w:rPr>
          <w:color w:val="1F497D"/>
        </w:rPr>
        <w:br w:type="page"/>
      </w:r>
    </w:p>
    <w:p w14:paraId="3BB1996D" w14:textId="77777777" w:rsidR="00D55AC7" w:rsidRDefault="00D55AC7" w:rsidP="00D55AC7">
      <w:pPr>
        <w:pStyle w:val="Ttulo1"/>
        <w:rPr>
          <w:color w:val="1F497D"/>
        </w:rPr>
      </w:pPr>
      <w:bookmarkStart w:id="194" w:name="_Toc238464694"/>
      <w:r w:rsidRPr="00D55AC7">
        <w:rPr>
          <w:color w:val="1F497D"/>
        </w:rPr>
        <w:t>Apéndice C: Reproducibilidad y código</w:t>
      </w:r>
      <w:bookmarkEnd w:id="194"/>
    </w:p>
    <w:p w14:paraId="2757C3B0" w14:textId="77777777" w:rsidR="00D55AC7" w:rsidRDefault="00D55AC7" w:rsidP="00733C44">
      <w:pPr>
        <w:jc w:val="both"/>
      </w:pPr>
      <w:r w:rsidRPr="00D55AC7">
        <w:t>El código completo del trabajo (</w:t>
      </w:r>
      <w:r w:rsidRPr="00D55AC7">
        <w:rPr>
          <w:i/>
        </w:rPr>
        <w:t>notebook</w:t>
      </w:r>
      <w:r w:rsidRPr="00D55AC7">
        <w:t xml:space="preserve"> de análisis, </w:t>
      </w:r>
      <w:r w:rsidRPr="00D55AC7">
        <w:rPr>
          <w:i/>
        </w:rPr>
        <w:t>cadena</w:t>
      </w:r>
      <w:r w:rsidRPr="00D55AC7">
        <w:t xml:space="preserve"> de procesamiento de datos y entrenamiento de los modelos) está disponible en el repositorio público de GitHub:</w:t>
      </w:r>
    </w:p>
    <w:p w14:paraId="6CFB0FA6" w14:textId="77777777" w:rsidR="00D55AC7" w:rsidRPr="00D55AC7" w:rsidRDefault="008A01C7" w:rsidP="00D55AC7">
      <w:hyperlink r:id="rId93" w:history="1">
        <w:r w:rsidRPr="0057712A">
          <w:rPr>
            <w:rStyle w:val="Hipervnculo"/>
          </w:rPr>
          <w:t>https://github.com/Seryce/TFM</w:t>
        </w:r>
      </w:hyperlink>
    </w:p>
    <w:p w14:paraId="769455E7" w14:textId="77777777" w:rsidR="00AE4C5F" w:rsidRPr="00C47BC5" w:rsidRDefault="00AE4C5F">
      <w:pPr>
        <w:jc w:val="both"/>
      </w:pPr>
    </w:p>
    <w:sectPr w:rsidR="00AE4C5F" w:rsidRPr="00C47BC5" w:rsidSect="00934226">
      <w:footerReference w:type="default" r:id="rId94"/>
      <w:footerReference w:type="first" r:id="rId95"/>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66975" w14:textId="77777777" w:rsidR="00253F0D" w:rsidRPr="00FF276E" w:rsidRDefault="00253F0D">
      <w:pPr>
        <w:spacing w:after="0" w:line="240" w:lineRule="auto"/>
      </w:pPr>
      <w:r w:rsidRPr="00FF276E">
        <w:separator/>
      </w:r>
    </w:p>
  </w:endnote>
  <w:endnote w:type="continuationSeparator" w:id="0">
    <w:p w14:paraId="7F6D2798" w14:textId="77777777" w:rsidR="00253F0D" w:rsidRPr="00FF276E" w:rsidRDefault="00253F0D">
      <w:pPr>
        <w:spacing w:after="0" w:line="240" w:lineRule="auto"/>
      </w:pPr>
      <w:r w:rsidRPr="00FF27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5B3D7" w:themeColor="accent1" w:themeTint="99"/>
      </w:rPr>
      <w:id w:val="-1479685093"/>
      <w:docPartObj>
        <w:docPartGallery w:val="Page Numbers (Bottom of Page)"/>
        <w:docPartUnique/>
      </w:docPartObj>
    </w:sdtPr>
    <w:sdtContent>
      <w:sdt>
        <w:sdtPr>
          <w:rPr>
            <w:color w:val="95B3D7" w:themeColor="accent1" w:themeTint="99"/>
          </w:rPr>
          <w:id w:val="-1769616900"/>
          <w:docPartObj>
            <w:docPartGallery w:val="Page Numbers (Top of Page)"/>
            <w:docPartUnique/>
          </w:docPartObj>
        </w:sdtPr>
        <w:sdtContent>
          <w:p w14:paraId="76711DF0" w14:textId="77777777" w:rsidR="00177AE5" w:rsidRPr="00FF276E" w:rsidRDefault="00177AE5" w:rsidP="00177AE5">
            <w:pPr>
              <w:pStyle w:val="Piedepgina"/>
              <w:rPr>
                <w:color w:val="95B3D7" w:themeColor="accent1" w:themeTint="99"/>
              </w:rPr>
            </w:pPr>
            <w:r w:rsidRPr="00FF276E">
              <w:rPr>
                <w:color w:val="365F91" w:themeColor="accent1" w:themeShade="BF"/>
                <w:sz w:val="20"/>
                <w:szCs w:val="20"/>
              </w:rPr>
              <w:t xml:space="preserve">Universidad Autónoma de Madrid </w:t>
            </w:r>
          </w:p>
          <w:p w14:paraId="6C967513" w14:textId="77777777" w:rsidR="00177AE5" w:rsidRPr="00FF276E" w:rsidRDefault="00177AE5" w:rsidP="00D20E1E">
            <w:pPr>
              <w:pStyle w:val="Piedepgina"/>
              <w:rPr>
                <w:color w:val="95B3D7" w:themeColor="accent1" w:themeTint="99"/>
              </w:rPr>
            </w:pPr>
            <w:r w:rsidRPr="00FF276E">
              <w:rPr>
                <w:color w:val="365F91" w:themeColor="accent1" w:themeShade="BF"/>
                <w:sz w:val="20"/>
                <w:szCs w:val="20"/>
              </w:rPr>
              <w:t>Escuela Politécnica Superior</w:t>
            </w:r>
            <w:r w:rsidRPr="00FF276E">
              <w:rPr>
                <w:color w:val="365F91" w:themeColor="accent1" w:themeShade="BF"/>
                <w:sz w:val="20"/>
                <w:szCs w:val="20"/>
              </w:rPr>
              <w:tab/>
            </w:r>
            <w:r w:rsidR="00D20E1E" w:rsidRPr="00FF276E">
              <w:rPr>
                <w:color w:val="95B3D7" w:themeColor="accent1" w:themeTint="99"/>
                <w:sz w:val="20"/>
                <w:szCs w:val="20"/>
              </w:rPr>
              <w:tab/>
            </w:r>
            <w:r w:rsidRPr="00FF276E">
              <w:rPr>
                <w:color w:val="95B3D7" w:themeColor="accent1" w:themeTint="99"/>
                <w:sz w:val="20"/>
                <w:szCs w:val="20"/>
              </w:rPr>
              <w:t xml:space="preserve">Página </w:t>
            </w:r>
            <w:r w:rsidRPr="00FF276E">
              <w:rPr>
                <w:b/>
                <w:bCs/>
                <w:color w:val="95B3D7" w:themeColor="accent1" w:themeTint="99"/>
              </w:rPr>
              <w:fldChar w:fldCharType="begin"/>
            </w:r>
            <w:r w:rsidRPr="00FF276E">
              <w:rPr>
                <w:b/>
                <w:bCs/>
                <w:color w:val="95B3D7" w:themeColor="accent1" w:themeTint="99"/>
                <w:sz w:val="20"/>
                <w:szCs w:val="20"/>
              </w:rPr>
              <w:instrText>PAGE</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r w:rsidRPr="00FF276E">
              <w:rPr>
                <w:color w:val="95B3D7" w:themeColor="accent1" w:themeTint="99"/>
                <w:sz w:val="20"/>
                <w:szCs w:val="20"/>
              </w:rPr>
              <w:t xml:space="preserve"> de </w:t>
            </w:r>
            <w:r w:rsidRPr="00FF276E">
              <w:rPr>
                <w:b/>
                <w:bCs/>
                <w:color w:val="95B3D7" w:themeColor="accent1" w:themeTint="99"/>
              </w:rPr>
              <w:fldChar w:fldCharType="begin"/>
            </w:r>
            <w:r w:rsidRPr="00FF276E">
              <w:rPr>
                <w:b/>
                <w:bCs/>
                <w:color w:val="95B3D7" w:themeColor="accent1" w:themeTint="99"/>
                <w:sz w:val="20"/>
                <w:szCs w:val="20"/>
              </w:rPr>
              <w:instrText>NUMPAGES</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p>
        </w:sdtContent>
      </w:sdt>
    </w:sdtContent>
  </w:sdt>
  <w:p w14:paraId="63164187" w14:textId="77777777" w:rsidR="00237D4B" w:rsidRPr="00FF276E" w:rsidRDefault="00237D4B" w:rsidP="00177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B2E3" w14:textId="77777777" w:rsidR="00253F0D" w:rsidRPr="00FF276E" w:rsidRDefault="00253F0D">
      <w:pPr>
        <w:spacing w:after="0" w:line="240" w:lineRule="auto"/>
      </w:pPr>
      <w:r w:rsidRPr="00FF276E">
        <w:separator/>
      </w:r>
    </w:p>
  </w:footnote>
  <w:footnote w:type="continuationSeparator" w:id="0">
    <w:p w14:paraId="7BE9F028" w14:textId="77777777" w:rsidR="00253F0D" w:rsidRPr="00FF276E" w:rsidRDefault="00253F0D">
      <w:pPr>
        <w:spacing w:after="0" w:line="240" w:lineRule="auto"/>
      </w:pPr>
      <w:r w:rsidRPr="00FF276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0101"/>
    <w:multiLevelType w:val="singleLevel"/>
    <w:tmpl w:val="00000101"/>
    <w:lvl w:ilvl="0">
      <w:start w:val="1"/>
      <w:numFmt w:val="decimal"/>
      <w:lvlText w:val="%1."/>
      <w:lvlJc w:val="left"/>
      <w:pPr>
        <w:tabs>
          <w:tab w:val="num" w:pos="360"/>
        </w:tabs>
        <w:ind w:left="360" w:hanging="360"/>
      </w:pPr>
    </w:lvl>
  </w:abstractNum>
  <w:abstractNum w:abstractNumId="10" w15:restartNumberingAfterBreak="0">
    <w:nsid w:val="6AB23F6D"/>
    <w:multiLevelType w:val="hybridMultilevel"/>
    <w:tmpl w:val="20D6014A"/>
    <w:lvl w:ilvl="0" w:tplc="B87E30AE">
      <w:start w:val="1"/>
      <w:numFmt w:val="bullet"/>
      <w:lvlText w:val="-"/>
      <w:lvlJc w:val="left"/>
      <w:pPr>
        <w:ind w:left="720" w:hanging="360"/>
      </w:pPr>
      <w:rPr>
        <w:rFonts w:ascii="Aptos" w:hAnsi="Aptos" w:hint="default"/>
      </w:rPr>
    </w:lvl>
    <w:lvl w:ilvl="1" w:tplc="CB168DEE">
      <w:start w:val="1"/>
      <w:numFmt w:val="bullet"/>
      <w:lvlText w:val="o"/>
      <w:lvlJc w:val="left"/>
      <w:pPr>
        <w:ind w:left="1440" w:hanging="360"/>
      </w:pPr>
      <w:rPr>
        <w:rFonts w:ascii="Courier New" w:hAnsi="Courier New" w:hint="default"/>
      </w:rPr>
    </w:lvl>
    <w:lvl w:ilvl="2" w:tplc="6F7C45BC">
      <w:start w:val="1"/>
      <w:numFmt w:val="bullet"/>
      <w:lvlText w:val=""/>
      <w:lvlJc w:val="left"/>
      <w:pPr>
        <w:ind w:left="2160" w:hanging="360"/>
      </w:pPr>
      <w:rPr>
        <w:rFonts w:ascii="Wingdings" w:hAnsi="Wingdings" w:hint="default"/>
      </w:rPr>
    </w:lvl>
    <w:lvl w:ilvl="3" w:tplc="B4AA75C6">
      <w:start w:val="1"/>
      <w:numFmt w:val="bullet"/>
      <w:lvlText w:val=""/>
      <w:lvlJc w:val="left"/>
      <w:pPr>
        <w:ind w:left="2880" w:hanging="360"/>
      </w:pPr>
      <w:rPr>
        <w:rFonts w:ascii="Symbol" w:hAnsi="Symbol" w:hint="default"/>
      </w:rPr>
    </w:lvl>
    <w:lvl w:ilvl="4" w:tplc="A1F6CDAC">
      <w:start w:val="1"/>
      <w:numFmt w:val="bullet"/>
      <w:lvlText w:val="o"/>
      <w:lvlJc w:val="left"/>
      <w:pPr>
        <w:ind w:left="3600" w:hanging="360"/>
      </w:pPr>
      <w:rPr>
        <w:rFonts w:ascii="Courier New" w:hAnsi="Courier New" w:hint="default"/>
      </w:rPr>
    </w:lvl>
    <w:lvl w:ilvl="5" w:tplc="E640EBA6">
      <w:start w:val="1"/>
      <w:numFmt w:val="bullet"/>
      <w:lvlText w:val=""/>
      <w:lvlJc w:val="left"/>
      <w:pPr>
        <w:ind w:left="4320" w:hanging="360"/>
      </w:pPr>
      <w:rPr>
        <w:rFonts w:ascii="Wingdings" w:hAnsi="Wingdings" w:hint="default"/>
      </w:rPr>
    </w:lvl>
    <w:lvl w:ilvl="6" w:tplc="F500B28E">
      <w:start w:val="1"/>
      <w:numFmt w:val="bullet"/>
      <w:lvlText w:val=""/>
      <w:lvlJc w:val="left"/>
      <w:pPr>
        <w:ind w:left="5040" w:hanging="360"/>
      </w:pPr>
      <w:rPr>
        <w:rFonts w:ascii="Symbol" w:hAnsi="Symbol" w:hint="default"/>
      </w:rPr>
    </w:lvl>
    <w:lvl w:ilvl="7" w:tplc="9196AE5C">
      <w:start w:val="1"/>
      <w:numFmt w:val="bullet"/>
      <w:lvlText w:val="o"/>
      <w:lvlJc w:val="left"/>
      <w:pPr>
        <w:ind w:left="5760" w:hanging="360"/>
      </w:pPr>
      <w:rPr>
        <w:rFonts w:ascii="Courier New" w:hAnsi="Courier New" w:hint="default"/>
      </w:rPr>
    </w:lvl>
    <w:lvl w:ilvl="8" w:tplc="A32E9944">
      <w:start w:val="1"/>
      <w:numFmt w:val="bullet"/>
      <w:lvlText w:val=""/>
      <w:lvlJc w:val="left"/>
      <w:pPr>
        <w:ind w:left="6480" w:hanging="360"/>
      </w:pPr>
      <w:rPr>
        <w:rFonts w:ascii="Wingdings" w:hAnsi="Wingdings" w:hint="default"/>
      </w:rPr>
    </w:lvl>
  </w:abstractNum>
  <w:num w:numId="1" w16cid:durableId="1083799173">
    <w:abstractNumId w:val="10"/>
  </w:num>
  <w:num w:numId="2" w16cid:durableId="612903165">
    <w:abstractNumId w:val="8"/>
  </w:num>
  <w:num w:numId="3" w16cid:durableId="13462808">
    <w:abstractNumId w:val="6"/>
  </w:num>
  <w:num w:numId="4" w16cid:durableId="1877424018">
    <w:abstractNumId w:val="5"/>
  </w:num>
  <w:num w:numId="5" w16cid:durableId="696543081">
    <w:abstractNumId w:val="4"/>
  </w:num>
  <w:num w:numId="6" w16cid:durableId="746003959">
    <w:abstractNumId w:val="7"/>
  </w:num>
  <w:num w:numId="7" w16cid:durableId="1861241038">
    <w:abstractNumId w:val="3"/>
  </w:num>
  <w:num w:numId="8" w16cid:durableId="921330194">
    <w:abstractNumId w:val="2"/>
  </w:num>
  <w:num w:numId="9" w16cid:durableId="1808039069">
    <w:abstractNumId w:val="1"/>
  </w:num>
  <w:num w:numId="10" w16cid:durableId="1264797376">
    <w:abstractNumId w:val="0"/>
  </w:num>
  <w:num w:numId="11" w16cid:durableId="25548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08"/>
    <w:rsid w:val="00005360"/>
    <w:rsid w:val="00034616"/>
    <w:rsid w:val="0006063C"/>
    <w:rsid w:val="000B66F5"/>
    <w:rsid w:val="000B67CA"/>
    <w:rsid w:val="000C6595"/>
    <w:rsid w:val="000E2107"/>
    <w:rsid w:val="0010566A"/>
    <w:rsid w:val="00130A8D"/>
    <w:rsid w:val="0015074B"/>
    <w:rsid w:val="00161FE3"/>
    <w:rsid w:val="00177AE5"/>
    <w:rsid w:val="001812CF"/>
    <w:rsid w:val="00186A77"/>
    <w:rsid w:val="00193A64"/>
    <w:rsid w:val="00193A86"/>
    <w:rsid w:val="001B0240"/>
    <w:rsid w:val="00237D4B"/>
    <w:rsid w:val="00253F0D"/>
    <w:rsid w:val="00275F66"/>
    <w:rsid w:val="00277681"/>
    <w:rsid w:val="0029639D"/>
    <w:rsid w:val="00297B49"/>
    <w:rsid w:val="002D0178"/>
    <w:rsid w:val="002D022C"/>
    <w:rsid w:val="002D704F"/>
    <w:rsid w:val="002E76BB"/>
    <w:rsid w:val="003066A2"/>
    <w:rsid w:val="00325421"/>
    <w:rsid w:val="00325537"/>
    <w:rsid w:val="00326F90"/>
    <w:rsid w:val="0033718A"/>
    <w:rsid w:val="003433D0"/>
    <w:rsid w:val="00356050"/>
    <w:rsid w:val="00365BD5"/>
    <w:rsid w:val="00393F1D"/>
    <w:rsid w:val="00404355"/>
    <w:rsid w:val="004237DA"/>
    <w:rsid w:val="004503D7"/>
    <w:rsid w:val="00463084"/>
    <w:rsid w:val="00475438"/>
    <w:rsid w:val="00490580"/>
    <w:rsid w:val="004A4B5E"/>
    <w:rsid w:val="004C2C43"/>
    <w:rsid w:val="0051075A"/>
    <w:rsid w:val="00557E68"/>
    <w:rsid w:val="00580635"/>
    <w:rsid w:val="00593C81"/>
    <w:rsid w:val="00596B6C"/>
    <w:rsid w:val="00634C34"/>
    <w:rsid w:val="006825B8"/>
    <w:rsid w:val="006C4E07"/>
    <w:rsid w:val="006F1E88"/>
    <w:rsid w:val="006F45BB"/>
    <w:rsid w:val="0071619F"/>
    <w:rsid w:val="0072479D"/>
    <w:rsid w:val="00733C44"/>
    <w:rsid w:val="007406D4"/>
    <w:rsid w:val="00752F80"/>
    <w:rsid w:val="00760531"/>
    <w:rsid w:val="00776068"/>
    <w:rsid w:val="00781B9B"/>
    <w:rsid w:val="00786D53"/>
    <w:rsid w:val="007C4E3E"/>
    <w:rsid w:val="008614C8"/>
    <w:rsid w:val="00864A1F"/>
    <w:rsid w:val="008854C7"/>
    <w:rsid w:val="008A01C7"/>
    <w:rsid w:val="008A0565"/>
    <w:rsid w:val="008A2D5E"/>
    <w:rsid w:val="008A4847"/>
    <w:rsid w:val="008B5469"/>
    <w:rsid w:val="008C2402"/>
    <w:rsid w:val="008D0AAE"/>
    <w:rsid w:val="00934226"/>
    <w:rsid w:val="00934DB9"/>
    <w:rsid w:val="0095071F"/>
    <w:rsid w:val="00966BD6"/>
    <w:rsid w:val="00971960"/>
    <w:rsid w:val="00977280"/>
    <w:rsid w:val="009D2B6A"/>
    <w:rsid w:val="009D554C"/>
    <w:rsid w:val="00A138F6"/>
    <w:rsid w:val="00A92B11"/>
    <w:rsid w:val="00AA1D8D"/>
    <w:rsid w:val="00AA7B00"/>
    <w:rsid w:val="00AE4C5F"/>
    <w:rsid w:val="00B032ED"/>
    <w:rsid w:val="00B1232B"/>
    <w:rsid w:val="00B46C8F"/>
    <w:rsid w:val="00B47730"/>
    <w:rsid w:val="00BC04C7"/>
    <w:rsid w:val="00BE14F6"/>
    <w:rsid w:val="00BE5D0D"/>
    <w:rsid w:val="00C06216"/>
    <w:rsid w:val="00C0712D"/>
    <w:rsid w:val="00C47BC5"/>
    <w:rsid w:val="00C527EA"/>
    <w:rsid w:val="00C5564E"/>
    <w:rsid w:val="00C55FA6"/>
    <w:rsid w:val="00C675BF"/>
    <w:rsid w:val="00C743EC"/>
    <w:rsid w:val="00CB0664"/>
    <w:rsid w:val="00CC0710"/>
    <w:rsid w:val="00CC3943"/>
    <w:rsid w:val="00CD3682"/>
    <w:rsid w:val="00CE65A4"/>
    <w:rsid w:val="00CF03D8"/>
    <w:rsid w:val="00D20E1E"/>
    <w:rsid w:val="00D23153"/>
    <w:rsid w:val="00D55AC7"/>
    <w:rsid w:val="00D90931"/>
    <w:rsid w:val="00DF2CE5"/>
    <w:rsid w:val="00E03F46"/>
    <w:rsid w:val="00E20B2F"/>
    <w:rsid w:val="00E27907"/>
    <w:rsid w:val="00E347BA"/>
    <w:rsid w:val="00E35FF3"/>
    <w:rsid w:val="00E531FA"/>
    <w:rsid w:val="00E83974"/>
    <w:rsid w:val="00E83CAF"/>
    <w:rsid w:val="00E87AA0"/>
    <w:rsid w:val="00EC241F"/>
    <w:rsid w:val="00F0520D"/>
    <w:rsid w:val="00F51350"/>
    <w:rsid w:val="00F5691A"/>
    <w:rsid w:val="00F73A8E"/>
    <w:rsid w:val="00FA5F32"/>
    <w:rsid w:val="00FC693F"/>
    <w:rsid w:val="00FF276E"/>
    <w:rsid w:val="00FF2CA2"/>
    <w:rsid w:val="02042863"/>
    <w:rsid w:val="02BE8ADE"/>
    <w:rsid w:val="04A0EC98"/>
    <w:rsid w:val="059D977E"/>
    <w:rsid w:val="05A47D4C"/>
    <w:rsid w:val="05CEA7BC"/>
    <w:rsid w:val="060F97B2"/>
    <w:rsid w:val="0687CCD4"/>
    <w:rsid w:val="06A7FDA4"/>
    <w:rsid w:val="06C76106"/>
    <w:rsid w:val="07D11556"/>
    <w:rsid w:val="084DF0E4"/>
    <w:rsid w:val="0A71AD42"/>
    <w:rsid w:val="0C162E09"/>
    <w:rsid w:val="0D5E6511"/>
    <w:rsid w:val="0EBE532F"/>
    <w:rsid w:val="0F7A6669"/>
    <w:rsid w:val="128FDDA6"/>
    <w:rsid w:val="167CF794"/>
    <w:rsid w:val="16D9FB62"/>
    <w:rsid w:val="18D8CC70"/>
    <w:rsid w:val="1A1DBA1C"/>
    <w:rsid w:val="1AA0058C"/>
    <w:rsid w:val="1CC693B7"/>
    <w:rsid w:val="1DDF8D9B"/>
    <w:rsid w:val="1E485C05"/>
    <w:rsid w:val="1EA4FFB9"/>
    <w:rsid w:val="2074EB35"/>
    <w:rsid w:val="22ECC77D"/>
    <w:rsid w:val="26CE5B49"/>
    <w:rsid w:val="270794B3"/>
    <w:rsid w:val="286849EA"/>
    <w:rsid w:val="2A5DE1CE"/>
    <w:rsid w:val="2AA5CA86"/>
    <w:rsid w:val="2BB9FB20"/>
    <w:rsid w:val="2D2A28D4"/>
    <w:rsid w:val="2E8EEFB7"/>
    <w:rsid w:val="2F4C5B31"/>
    <w:rsid w:val="32B71902"/>
    <w:rsid w:val="33650ABB"/>
    <w:rsid w:val="33AAF94E"/>
    <w:rsid w:val="340E410E"/>
    <w:rsid w:val="3548014B"/>
    <w:rsid w:val="355C3097"/>
    <w:rsid w:val="36B01F22"/>
    <w:rsid w:val="3778D404"/>
    <w:rsid w:val="383EF240"/>
    <w:rsid w:val="38588CB9"/>
    <w:rsid w:val="388E073D"/>
    <w:rsid w:val="38D80F1A"/>
    <w:rsid w:val="391CFA90"/>
    <w:rsid w:val="39B221F3"/>
    <w:rsid w:val="3AF361C3"/>
    <w:rsid w:val="3C37206F"/>
    <w:rsid w:val="3DF8E2E7"/>
    <w:rsid w:val="3DFA7F93"/>
    <w:rsid w:val="3E78228E"/>
    <w:rsid w:val="3F7CB171"/>
    <w:rsid w:val="43BFDA28"/>
    <w:rsid w:val="44BA59AE"/>
    <w:rsid w:val="44CEC9E0"/>
    <w:rsid w:val="45F59E91"/>
    <w:rsid w:val="4610B286"/>
    <w:rsid w:val="46283C72"/>
    <w:rsid w:val="46AB4A94"/>
    <w:rsid w:val="49BCC0F3"/>
    <w:rsid w:val="5072C2E0"/>
    <w:rsid w:val="528C38A6"/>
    <w:rsid w:val="52C7BA0A"/>
    <w:rsid w:val="53991F85"/>
    <w:rsid w:val="5437F113"/>
    <w:rsid w:val="55298286"/>
    <w:rsid w:val="5876AEAE"/>
    <w:rsid w:val="5CAC72AB"/>
    <w:rsid w:val="5CE51D65"/>
    <w:rsid w:val="61665C7C"/>
    <w:rsid w:val="61C708FE"/>
    <w:rsid w:val="61E8E90D"/>
    <w:rsid w:val="639C6E94"/>
    <w:rsid w:val="64179282"/>
    <w:rsid w:val="667F155C"/>
    <w:rsid w:val="6C4EC929"/>
    <w:rsid w:val="6E9347B1"/>
    <w:rsid w:val="6F170F8E"/>
    <w:rsid w:val="70A6A30A"/>
    <w:rsid w:val="70B34234"/>
    <w:rsid w:val="7229EDBC"/>
    <w:rsid w:val="72D1FB3D"/>
    <w:rsid w:val="7487CA1F"/>
    <w:rsid w:val="74CC4C6D"/>
    <w:rsid w:val="76350D5D"/>
    <w:rsid w:val="76739221"/>
    <w:rsid w:val="773240B9"/>
    <w:rsid w:val="78316127"/>
    <w:rsid w:val="7884B544"/>
    <w:rsid w:val="79482368"/>
    <w:rsid w:val="796B6E4C"/>
    <w:rsid w:val="7C53ADC4"/>
    <w:rsid w:val="7D4C3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66AACF"/>
  <w14:defaultImageDpi w14:val="300"/>
  <w15:docId w15:val="{D2227A18-8A42-4075-9063-A7589825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0" w:lineRule="exact"/>
    </w:pPr>
    <w:rPr>
      <w:rFonts w:ascii="Calibri" w:hAnsi="Calibri"/>
      <w:noProof/>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347BA"/>
    <w:rPr>
      <w:color w:val="0000FF" w:themeColor="hyperlink"/>
      <w:u w:val="single"/>
    </w:rPr>
  </w:style>
  <w:style w:type="character" w:styleId="Mencinsinresolver">
    <w:name w:val="Unresolved Mention"/>
    <w:basedOn w:val="Fuentedeprrafopredeter"/>
    <w:uiPriority w:val="99"/>
    <w:semiHidden/>
    <w:unhideWhenUsed/>
    <w:rsid w:val="00E347BA"/>
    <w:rPr>
      <w:color w:val="605E5C"/>
      <w:shd w:val="clear" w:color="auto" w:fill="E1DFDD"/>
    </w:rPr>
  </w:style>
  <w:style w:type="paragraph" w:styleId="TDC1">
    <w:name w:val="toc 1"/>
    <w:basedOn w:val="Normal"/>
    <w:next w:val="Normal"/>
    <w:autoRedefine/>
    <w:uiPriority w:val="39"/>
    <w:unhideWhenUsed/>
    <w:rsid w:val="00005360"/>
    <w:pPr>
      <w:spacing w:after="100"/>
    </w:pPr>
  </w:style>
  <w:style w:type="paragraph" w:styleId="TDC2">
    <w:name w:val="toc 2"/>
    <w:basedOn w:val="Normal"/>
    <w:next w:val="Normal"/>
    <w:autoRedefine/>
    <w:uiPriority w:val="39"/>
    <w:unhideWhenUsed/>
    <w:rsid w:val="00005360"/>
    <w:pPr>
      <w:spacing w:after="100"/>
      <w:ind w:left="220"/>
    </w:pPr>
  </w:style>
  <w:style w:type="paragraph" w:styleId="TDC3">
    <w:name w:val="toc 3"/>
    <w:basedOn w:val="Normal"/>
    <w:next w:val="Normal"/>
    <w:autoRedefine/>
    <w:uiPriority w:val="39"/>
    <w:unhideWhenUsed/>
    <w:rsid w:val="00005360"/>
    <w:pPr>
      <w:spacing w:after="100"/>
      <w:ind w:left="440"/>
    </w:pPr>
  </w:style>
  <w:style w:type="character" w:styleId="Hipervnculovisitado">
    <w:name w:val="FollowedHyperlink"/>
    <w:basedOn w:val="Fuentedeprrafopredeter"/>
    <w:uiPriority w:val="99"/>
    <w:semiHidden/>
    <w:unhideWhenUsed/>
    <w:rsid w:val="006F1E88"/>
    <w:rPr>
      <w:color w:val="800080"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noProof/>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doi.org/10.1038/s41586-021-04387-1" TargetMode="External"/><Relationship Id="rId63" Type="http://schemas.openxmlformats.org/officeDocument/2006/relationships/hyperlink" Target="https://doi.org/10.1002/advs.202405058" TargetMode="External"/><Relationship Id="rId68" Type="http://schemas.openxmlformats.org/officeDocument/2006/relationships/hyperlink" Target="https://doi.org/10.1186/s13073-021-00945-4" TargetMode="External"/><Relationship Id="rId84" Type="http://schemas.openxmlformats.org/officeDocument/2006/relationships/hyperlink" Target="https://doi.org/10.21105/joss.03773" TargetMode="External"/><Relationship Id="rId89" Type="http://schemas.openxmlformats.org/officeDocument/2006/relationships/hyperlink" Target="https://doi.org/10.21105/joss.01317"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073/pnas.2317851121" TargetMode="External"/><Relationship Id="rId58" Type="http://schemas.openxmlformats.org/officeDocument/2006/relationships/hyperlink" Target="https://doi.org/10.1038/s41467-023-39199-6" TargetMode="External"/><Relationship Id="rId74" Type="http://schemas.openxmlformats.org/officeDocument/2006/relationships/hyperlink" Target="https://doi.org/10.1016/j.jiph.2026.103140" TargetMode="External"/><Relationship Id="rId79" Type="http://schemas.openxmlformats.org/officeDocument/2006/relationships/hyperlink" Target="https://doi.org/10.1371/journal.ppat.1009499" TargetMode="External"/><Relationship Id="rId5" Type="http://schemas.openxmlformats.org/officeDocument/2006/relationships/numbering" Target="numbering.xml"/><Relationship Id="rId90" Type="http://schemas.openxmlformats.org/officeDocument/2006/relationships/hyperlink" Target="https://www.ecdc.europa.eu/en/covid-19/variants-concern" TargetMode="External"/><Relationship Id="rId95"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hyperlink" Target="https://doi.org/10.1002/gch2.1018" TargetMode="External"/><Relationship Id="rId64" Type="http://schemas.openxmlformats.org/officeDocument/2006/relationships/hyperlink" Target="https://doi.org/10.1016/j.csbj.2025.03.010" TargetMode="External"/><Relationship Id="rId69" Type="http://schemas.openxmlformats.org/officeDocument/2006/relationships/hyperlink" Target="https://doi.org/10.1038/s41598-026-50032-0" TargetMode="External"/><Relationship Id="rId80" Type="http://schemas.openxmlformats.org/officeDocument/2006/relationships/hyperlink" Target="https://doi.org/10.7554/eLife.35962" TargetMode="External"/><Relationship Id="rId85" Type="http://schemas.openxmlformats.org/officeDocument/2006/relationships/hyperlink" Target="https://doi.org/10.1038/s41586-020-2852-1"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038/s41586-022-04411-y" TargetMode="External"/><Relationship Id="rId59" Type="http://schemas.openxmlformats.org/officeDocument/2006/relationships/hyperlink" Target="https://doi.org/10.1038/s41586-024-07636-1" TargetMode="External"/><Relationship Id="rId67" Type="http://schemas.openxmlformats.org/officeDocument/2006/relationships/hyperlink" Target="https://doi.org/10.3390/microorganisms10091785"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126/science.abm1208" TargetMode="External"/><Relationship Id="rId62" Type="http://schemas.openxmlformats.org/officeDocument/2006/relationships/hyperlink" Target="https://doi.org/10.1093/pnasnexus/pgad424" TargetMode="External"/><Relationship Id="rId70" Type="http://schemas.openxmlformats.org/officeDocument/2006/relationships/hyperlink" Target="https://doi.org/10.3390/bioengineering10070753" TargetMode="External"/><Relationship Id="rId75" Type="http://schemas.openxmlformats.org/officeDocument/2006/relationships/hyperlink" Target="https://doi.org/10.1371/journal.pone.0311459" TargetMode="External"/><Relationship Id="rId83" Type="http://schemas.openxmlformats.org/officeDocument/2006/relationships/hyperlink" Target="https://doi.org/10.1038/s41564-020-0770-5" TargetMode="External"/><Relationship Id="rId88" Type="http://schemas.openxmlformats.org/officeDocument/2006/relationships/hyperlink" Target="https://doi.org/10.18637/jss.v039.i05" TargetMode="External"/><Relationship Id="rId91" Type="http://schemas.openxmlformats.org/officeDocument/2006/relationships/hyperlink" Target="https://github.com/neherlab/SARS-CoV-2_variant-reports"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2807/1560-7917.ES.2017.22.13.30494" TargetMode="External"/><Relationship Id="rId57" Type="http://schemas.openxmlformats.org/officeDocument/2006/relationships/hyperlink" Target="https://doi.org/10.1101/2023.01.17.524472"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i.org/10.1128/spectrum.00221-22" TargetMode="External"/><Relationship Id="rId60" Type="http://schemas.openxmlformats.org/officeDocument/2006/relationships/hyperlink" Target="https://doi.org/10.1093/bib/bbae535" TargetMode="External"/><Relationship Id="rId65" Type="http://schemas.openxmlformats.org/officeDocument/2006/relationships/hyperlink" Target="https://doi.org/10.1038/s41467-025-60231-4" TargetMode="External"/><Relationship Id="rId73" Type="http://schemas.openxmlformats.org/officeDocument/2006/relationships/hyperlink" Target="https://doi.org/10.1016/j.epidem.2009.05.003" TargetMode="External"/><Relationship Id="rId78" Type="http://schemas.openxmlformats.org/officeDocument/2006/relationships/hyperlink" Target="https://doi.org/10.1126/science.abg0821" TargetMode="External"/><Relationship Id="rId81" Type="http://schemas.openxmlformats.org/officeDocument/2006/relationships/hyperlink" Target="https://doi.org/10.1073/pnas.2317977121" TargetMode="External"/><Relationship Id="rId86" Type="http://schemas.openxmlformats.org/officeDocument/2006/relationships/hyperlink" Target="https://proceedings.neurips.cc/paper/2017/hash/8a20a8621978632d76c43dfd28b67767-Abstract.html" TargetMode="External"/><Relationship Id="rId9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doi.org/10.1128/jvi.02250-24" TargetMode="External"/><Relationship Id="rId55" Type="http://schemas.openxmlformats.org/officeDocument/2006/relationships/hyperlink" Target="https://doi.org/10.1038/s41586-023-06617-0" TargetMode="External"/><Relationship Id="rId76" Type="http://schemas.openxmlformats.org/officeDocument/2006/relationships/hyperlink" Target="https://doi.org/10.1056/NEJMc2031364"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oi.org/10.1111/j.2517-6161.1972.tb00899.x" TargetMode="External"/><Relationship Id="rId92" Type="http://schemas.openxmlformats.org/officeDocument/2006/relationships/hyperlink" Target="https://www.publichealthontario.ca/en/laboratory-services/public-health-genomics"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hyperlink" Target="https://doi.org/10.1038/s41579-021-00573-0" TargetMode="External"/><Relationship Id="rId66" Type="http://schemas.openxmlformats.org/officeDocument/2006/relationships/hyperlink" Target="https://proceedings.neurips.cc/paper/2017/hash/6449f44a102fde848669bdd9eb6b76fa-Abstract.html" TargetMode="External"/><Relationship Id="rId87" Type="http://schemas.openxmlformats.org/officeDocument/2006/relationships/hyperlink" Target="https://doi.org/10.1080/01621459.1958.10501452" TargetMode="External"/><Relationship Id="rId61" Type="http://schemas.openxmlformats.org/officeDocument/2006/relationships/hyperlink" Target="https://doi.org/10.3390/v18080843" TargetMode="External"/><Relationship Id="rId82" Type="http://schemas.openxmlformats.org/officeDocument/2006/relationships/hyperlink" Target="https://doi.org/10.1093/nar/gkaf077"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371/journal.pcbi.1011790" TargetMode="External"/><Relationship Id="rId77" Type="http://schemas.openxmlformats.org/officeDocument/2006/relationships/hyperlink" Target="https://doi.org/10.1038/s41586-021-03291-y" TargetMode="External"/><Relationship Id="rId8" Type="http://schemas.openxmlformats.org/officeDocument/2006/relationships/webSettings" Target="webSettings.xml"/><Relationship Id="rId51" Type="http://schemas.openxmlformats.org/officeDocument/2006/relationships/hyperlink" Target="https://doi.org/10.3390/pathogens11060662" TargetMode="External"/><Relationship Id="rId72" Type="http://schemas.openxmlformats.org/officeDocument/2006/relationships/hyperlink" Target="https://doi.org/10.1186/1742-6405-8-26" TargetMode="External"/><Relationship Id="rId93" Type="http://schemas.openxmlformats.org/officeDocument/2006/relationships/hyperlink" Target="https://github.com/Seryce/TFM" TargetMode="External"/><Relationship Id="rId98" Type="http://schemas.openxmlformats.org/officeDocument/2006/relationships/image" Target="media/image35.png"/><Relationship Id="rId99" Type="http://schemas.openxmlformats.org/officeDocument/2006/relationships/image" Target="media/image36.png"/><Relationship Id="rId100"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E0491-6B79-4D81-A6C0-BB4B47B211BD}">
  <we:reference id="wa200010453" version="1.0.0.1" store="es-ES" storeType="OMEX"/>
  <we:alternateReferences>
    <we:reference id="WA200010453" version="1.0.0.1" store="WA200010453" storeType="OMEX"/>
  </we:alternateReferences>
  <we:properties>
    <we:property name="claude.fileId" value="&quot;8139320b-5894-4c60-a7e3-1381c1c668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ae40838-9c5f-493f-a866-a93c3a81f33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CC24CE794BA064CB5DAC8CF21E84A58" ma:contentTypeVersion="5" ma:contentTypeDescription="Crear nuevo documento." ma:contentTypeScope="" ma:versionID="cd39ed0c368253f41058656292ddb70e">
  <xsd:schema xmlns:xsd="http://www.w3.org/2001/XMLSchema" xmlns:xs="http://www.w3.org/2001/XMLSchema" xmlns:p="http://schemas.microsoft.com/office/2006/metadata/properties" xmlns:ns3="0ae40838-9c5f-493f-a866-a93c3a81f338" targetNamespace="http://schemas.microsoft.com/office/2006/metadata/properties" ma:root="true" ma:fieldsID="2465de70c7414844de3f4845acf8a163" ns3:_="">
    <xsd:import namespace="0ae40838-9c5f-493f-a866-a93c3a81f3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40838-9c5f-493f-a866-a93c3a81f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6509AC-FAAC-4063-A5DF-B1B1CD86FE68}">
  <ds:schemaRefs>
    <ds:schemaRef ds:uri="http://schemas.microsoft.com/sharepoint/v3/contenttype/forms"/>
  </ds:schemaRefs>
</ds:datastoreItem>
</file>

<file path=customXml/itemProps2.xml><?xml version="1.0" encoding="utf-8"?>
<ds:datastoreItem xmlns:ds="http://schemas.openxmlformats.org/officeDocument/2006/customXml" ds:itemID="{391C2D3E-879A-484F-A468-48475EA906D3}">
  <ds:schemaRefs>
    <ds:schemaRef ds:uri="http://schemas.microsoft.com/office/2006/metadata/properties"/>
    <ds:schemaRef ds:uri="http://schemas.microsoft.com/office/infopath/2007/PartnerControls"/>
    <ds:schemaRef ds:uri="0ae40838-9c5f-493f-a866-a93c3a81f338"/>
  </ds:schemaRefs>
</ds:datastoreItem>
</file>

<file path=customXml/itemProps3.xml><?xml version="1.0" encoding="utf-8"?>
<ds:datastoreItem xmlns:ds="http://schemas.openxmlformats.org/officeDocument/2006/customXml" ds:itemID="{5177FEA6-CC72-442D-A107-205C0817E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40838-9c5f-493f-a866-a93c3a81f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86</Pages>
  <Words>24067</Words>
  <Characters>132369</Characters>
  <Application>Microsoft Office Word</Application>
  <DocSecurity>0</DocSecurity>
  <Lines>1103</Lines>
  <Paragraphs>312</Paragraphs>
  <ScaleCrop>false</ScaleCrop>
  <Manager/>
  <Company/>
  <LinksUpToDate>false</LinksUpToDate>
  <CharactersWithSpaces>156124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expansión de variantes de SARS-CoV-2 en la población mediante aprendizaje automático</dc:title>
  <dc:subject/>
  <dc:creator>python-docx</dc:creator>
  <cp:keywords/>
  <dc:description>generated by python-docx</dc:description>
  <cp:lastModifiedBy>Sergio López González del Rey</cp:lastModifiedBy>
  <cp:revision>7</cp:revision>
  <cp:lastPrinted>2026-07-14T07:09:00Z</cp:lastPrinted>
  <dcterms:created xsi:type="dcterms:W3CDTF">2026-07-14T12:11:00Z</dcterms:created>
  <dcterms:modified xsi:type="dcterms:W3CDTF">2026-08-24T09:50:00Z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0x010100BCC24CE794BA064CB5DAC8CF21E84A58</vt:lpwstr>
  </property>
</Properties>
</file>