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Codekwaliteit en analyse</w:t>
      </w:r>
    </w:p>
    <w:p>
      <w:pPr>
        <w:jc w:val="center"/>
      </w:pPr>
      <w:r>
        <w:rPr>
          <w:b/>
          <w:color w:val="404040"/>
          <w:sz w:val="26"/>
        </w:rPr>
        <w:t>OPT3 Casus Java – COA-plaatsingssysteem</w:t>
      </w:r>
    </w:p>
    <w:p>
      <w:pPr>
        <w:jc w:val="center"/>
      </w:pPr>
      <w:r>
        <w:rPr>
          <w:i/>
          <w:color w:val="666666"/>
          <w:sz w:val="19"/>
        </w:rPr>
        <w:t>Gecorrigeerde versie | Java 17 | Strategy, Observer en Template Method</w:t>
      </w:r>
    </w:p>
    <w:p>
      <w:pPr>
        <w:spacing w:before="60" w:after="200"/>
        <w:ind w:left="113" w:right="113"/>
        <w:shd w:fill="EAF2F8"/>
      </w:pPr>
      <w:r>
        <w:rPr>
          <w:rFonts w:ascii="Aptos" w:hAnsi="Aptos"/>
          <w:color w:val="1F1F1F"/>
          <w:sz w:val="19"/>
        </w:rPr>
        <w:t>Belangrijk: SonarQube en Sigrid zijn verschillende analysetools. Ze kunnen beide bijdragen aan softwarekwaliteitsbeoordeling, maar gebruiken niet exact dezelfde metrieken en beoordelingsmodellen. Daarom bevat dit document alleen controleerbare bevindingen uit de code, compilatie en tests.</w:t>
      </w:r>
    </w:p>
    <w:p>
      <w:pPr>
        <w:pStyle w:val="Heading1"/>
      </w:pPr>
      <w:r>
        <w:t>1. Scope en verificatiemethode</w:t>
      </w:r>
    </w:p>
    <w:p>
      <w:r>
        <w:rPr>
          <w:b w:val="0"/>
        </w:rPr>
        <w:t>De volledige projectmap is gecontroleerd op compileerbaarheid, functionele consistentie, testbaarheid, documentatie en toepassing van ontwerppatronen. De gecorrigeerde productiecode is gecompileerd met Java 17, waarbij alle compilerwaarschuwingen als fout zijn behandeld. Daarna zijn negentien geautomatiseerde controles uitgevoerd.</w:t>
      </w:r>
      <w:r>
        <w:rPr>
          <w:b/>
        </w:rPr>
      </w:r>
      <w:r/>
    </w:p>
    <w:p>
      <w:pPr>
        <w:pStyle w:val="ListBullet"/>
        <w:spacing w:after="60"/>
      </w:pPr>
      <w:r>
        <w:t>Compilatie: Java 17 met -Xlint:all en -Werror – geslaagd.</w:t>
      </w:r>
    </w:p>
    <w:p>
      <w:pPr>
        <w:pStyle w:val="ListBullet"/>
        <w:spacing w:after="60"/>
      </w:pPr>
      <w:r>
        <w:t>Tests: 19 geslaagd, 0 mislukt.</w:t>
      </w:r>
    </w:p>
    <w:p>
      <w:pPr>
        <w:pStyle w:val="ListBullet"/>
        <w:spacing w:after="60"/>
      </w:pPr>
      <w:r>
        <w:t>Demonstratieprogramma: volledig uitgevoerd zonder runtimefouten.</w:t>
      </w:r>
    </w:p>
    <w:p>
      <w:pPr>
        <w:pStyle w:val="ListBullet"/>
        <w:spacing w:after="60"/>
      </w:pPr>
      <w:r>
        <w:t>Rapportage en UML: opnieuw opgebouwd en afgestemd op de gecorrigeerde code.</w:t>
      </w:r>
    </w:p>
    <w:p>
      <w:pPr>
        <w:pStyle w:val="Heading1"/>
      </w:pPr>
      <w:r>
        <w:t>2. Belangrijkste gevonden fouten</w:t>
      </w:r>
    </w:p>
    <w:tbl>
      <w:tblPr>
        <w:tblStyle w:val="TableGrid"/>
        <w:tblW w:type="auto" w:w="0"/>
        <w:jc w:val="center"/>
        <w:tblLook w:firstColumn="1" w:firstRow="1" w:lastColumn="0" w:lastRow="0" w:noHBand="0" w:noVBand="1" w:val="04A0"/>
      </w:tblPr>
      <w:tblGrid>
        <w:gridCol w:w="3324"/>
        <w:gridCol w:w="3324"/>
        <w:gridCol w:w="3324"/>
      </w:tblGrid>
      <w:tr>
        <w:trPr>
          <w:cantSplit/>
          <w:tblHeader w:val="true"/>
        </w:trPr>
        <w:tc>
          <w:tcPr>
            <w:tcW w:type="dxa" w:w="1814"/>
            <w:shd w:fill="1F4E79"/>
            <w:vAlign w:val="center"/>
          </w:tcPr>
          <w:p>
            <w:pPr>
              <w:spacing w:after="0"/>
            </w:pPr>
            <w:r/>
            <w:r>
              <w:rPr>
                <w:rFonts w:ascii="Aptos" w:hAnsi="Aptos"/>
                <w:b/>
                <w:color w:val="FFFFFF"/>
                <w:sz w:val="18"/>
              </w:rPr>
              <w:t>Onderdeel</w:t>
            </w:r>
          </w:p>
        </w:tc>
        <w:tc>
          <w:tcPr>
            <w:tcW w:type="dxa" w:w="3685"/>
            <w:shd w:fill="1F4E79"/>
            <w:vAlign w:val="center"/>
          </w:tcPr>
          <w:p>
            <w:pPr>
              <w:spacing w:after="0"/>
            </w:pPr>
            <w:r/>
            <w:r>
              <w:rPr>
                <w:rFonts w:ascii="Aptos" w:hAnsi="Aptos"/>
                <w:b/>
                <w:color w:val="FFFFFF"/>
                <w:sz w:val="18"/>
              </w:rPr>
              <w:t>Probleem</w:t>
            </w:r>
          </w:p>
        </w:tc>
        <w:tc>
          <w:tcPr>
            <w:tcW w:type="dxa" w:w="3969"/>
            <w:shd w:fill="1F4E79"/>
            <w:vAlign w:val="center"/>
          </w:tcPr>
          <w:p>
            <w:pPr>
              <w:spacing w:after="0"/>
            </w:pPr>
            <w:r/>
            <w:r>
              <w:rPr>
                <w:rFonts w:ascii="Aptos" w:hAnsi="Aptos"/>
                <w:b/>
                <w:color w:val="FFFFFF"/>
                <w:sz w:val="18"/>
              </w:rPr>
              <w:t>Correctie</w:t>
            </w:r>
          </w:p>
        </w:tc>
      </w:tr>
      <w:tr>
        <w:trPr>
          <w:cantSplit/>
        </w:trPr>
        <w:tc>
          <w:tcPr>
            <w:tcW w:type="dxa" w:w="1814"/>
            <w:vAlign w:val="center"/>
          </w:tcPr>
          <w:p>
            <w:pPr>
              <w:spacing w:after="0"/>
            </w:pPr>
            <w:r/>
            <w:r>
              <w:rPr>
                <w:rFonts w:ascii="Aptos" w:hAnsi="Aptos"/>
                <w:b/>
                <w:sz w:val="18"/>
              </w:rPr>
              <w:t>Plaatsingsstrategieën</w:t>
            </w:r>
          </w:p>
        </w:tc>
        <w:tc>
          <w:tcPr>
            <w:tcW w:type="dxa" w:w="3685"/>
            <w:vAlign w:val="center"/>
          </w:tcPr>
          <w:p>
            <w:pPr>
              <w:spacing w:after="0"/>
            </w:pPr>
            <w:r/>
            <w:r>
              <w:rPr>
                <w:rFonts w:ascii="Aptos" w:hAnsi="Aptos"/>
                <w:b w:val="0"/>
                <w:sz w:val="18"/>
              </w:rPr>
              <w:t>Gemeentes met nul vrije plaatsen konden toch worden geselecteerd.</w:t>
            </w:r>
          </w:p>
        </w:tc>
        <w:tc>
          <w:tcPr>
            <w:tcW w:type="dxa" w:w="3969"/>
            <w:vAlign w:val="center"/>
          </w:tcPr>
          <w:p>
            <w:pPr>
              <w:spacing w:after="0"/>
            </w:pPr>
            <w:r/>
            <w:r>
              <w:rPr>
                <w:rFonts w:ascii="Aptos" w:hAnsi="Aptos"/>
                <w:b w:val="0"/>
                <w:sz w:val="18"/>
              </w:rPr>
              <w:t>Volle gemeentes worden overgeslagen; zonder beschikbare capaciteit wordt null teruggegeven.</w:t>
            </w:r>
          </w:p>
        </w:tc>
      </w:tr>
      <w:tr>
        <w:trPr>
          <w:cantSplit/>
        </w:trPr>
        <w:tc>
          <w:tcPr>
            <w:tcW w:type="dxa" w:w="1814"/>
            <w:shd w:fill="F5F7FA"/>
            <w:vAlign w:val="center"/>
          </w:tcPr>
          <w:p>
            <w:pPr>
              <w:spacing w:after="0"/>
            </w:pPr>
            <w:r/>
            <w:r>
              <w:rPr>
                <w:rFonts w:ascii="Aptos" w:hAnsi="Aptos"/>
                <w:b/>
                <w:sz w:val="18"/>
              </w:rPr>
              <w:t>Plaatsing en verhuizing</w:t>
            </w:r>
          </w:p>
        </w:tc>
        <w:tc>
          <w:tcPr>
            <w:tcW w:type="dxa" w:w="3685"/>
            <w:shd w:fill="F5F7FA"/>
            <w:vAlign w:val="center"/>
          </w:tcPr>
          <w:p>
            <w:pPr>
              <w:spacing w:after="0"/>
            </w:pPr>
            <w:r/>
            <w:r>
              <w:rPr>
                <w:rFonts w:ascii="Aptos" w:hAnsi="Aptos"/>
                <w:b w:val="0"/>
                <w:sz w:val="18"/>
              </w:rPr>
              <w:t>AZC-lijst, vluchteling en gemeenteteller werden los bijgewerkt. Dit kon dubbele of tegenstrijdige registraties opleveren.</w:t>
            </w:r>
          </w:p>
        </w:tc>
        <w:tc>
          <w:tcPr>
            <w:tcW w:type="dxa" w:w="3969"/>
            <w:shd w:fill="F5F7FA"/>
            <w:vAlign w:val="center"/>
          </w:tcPr>
          <w:p>
            <w:pPr>
              <w:spacing w:after="0"/>
            </w:pPr>
            <w:r/>
            <w:r>
              <w:rPr>
                <w:rFonts w:ascii="Aptos" w:hAnsi="Aptos"/>
                <w:b w:val="0"/>
                <w:sz w:val="18"/>
              </w:rPr>
              <w:t>De volledige verplaatsing wordt centraal en herstelbaar uitgevoerd via Vluchteling.plaatsInAZC.</w:t>
            </w:r>
          </w:p>
        </w:tc>
      </w:tr>
      <w:tr>
        <w:trPr>
          <w:cantSplit/>
        </w:trPr>
        <w:tc>
          <w:tcPr>
            <w:tcW w:type="dxa" w:w="1814"/>
            <w:vAlign w:val="center"/>
          </w:tcPr>
          <w:p>
            <w:pPr>
              <w:spacing w:after="0"/>
            </w:pPr>
            <w:r/>
            <w:r>
              <w:rPr>
                <w:rFonts w:ascii="Aptos" w:hAnsi="Aptos"/>
                <w:b/>
                <w:sz w:val="18"/>
              </w:rPr>
              <w:t>Capaciteit</w:t>
            </w:r>
          </w:p>
        </w:tc>
        <w:tc>
          <w:tcPr>
            <w:tcW w:type="dxa" w:w="3685"/>
            <w:vAlign w:val="center"/>
          </w:tcPr>
          <w:p>
            <w:pPr>
              <w:spacing w:after="0"/>
            </w:pPr>
            <w:r/>
            <w:r>
              <w:rPr>
                <w:rFonts w:ascii="Aptos" w:hAnsi="Aptos"/>
                <w:b w:val="0"/>
                <w:sz w:val="18"/>
              </w:rPr>
              <w:t>De gemeenteteller kon boven de aangeboden capaciteit uitkomen.</w:t>
            </w:r>
          </w:p>
        </w:tc>
        <w:tc>
          <w:tcPr>
            <w:tcW w:type="dxa" w:w="3969"/>
            <w:vAlign w:val="center"/>
          </w:tcPr>
          <w:p>
            <w:pPr>
              <w:spacing w:after="0"/>
            </w:pPr>
            <w:r/>
            <w:r>
              <w:rPr>
                <w:rFonts w:ascii="Aptos" w:hAnsi="Aptos"/>
                <w:b w:val="0"/>
                <w:sz w:val="18"/>
              </w:rPr>
              <w:t>Capaciteit wordt vóór iedere nieuwe plaatsing gecontroleerd.</w:t>
            </w:r>
          </w:p>
        </w:tc>
      </w:tr>
      <w:tr>
        <w:trPr>
          <w:cantSplit/>
        </w:trPr>
        <w:tc>
          <w:tcPr>
            <w:tcW w:type="dxa" w:w="1814"/>
            <w:shd w:fill="F5F7FA"/>
            <w:vAlign w:val="center"/>
          </w:tcPr>
          <w:p>
            <w:pPr>
              <w:spacing w:after="0"/>
            </w:pPr>
            <w:r/>
            <w:r>
              <w:rPr>
                <w:rFonts w:ascii="Aptos" w:hAnsi="Aptos"/>
                <w:b/>
                <w:sz w:val="18"/>
              </w:rPr>
              <w:t>Berichtenbox</w:t>
            </w:r>
          </w:p>
        </w:tc>
        <w:tc>
          <w:tcPr>
            <w:tcW w:type="dxa" w:w="3685"/>
            <w:shd w:fill="F5F7FA"/>
            <w:vAlign w:val="center"/>
          </w:tcPr>
          <w:p>
            <w:pPr>
              <w:spacing w:after="0"/>
            </w:pPr>
            <w:r/>
            <w:r>
              <w:rPr>
                <w:rFonts w:ascii="Aptos" w:hAnsi="Aptos"/>
                <w:b w:val="0"/>
                <w:sz w:val="18"/>
              </w:rPr>
              <w:t>Verwerkte berichten bleven via getOngelezenBerichten zichtbaar.</w:t>
            </w:r>
          </w:p>
        </w:tc>
        <w:tc>
          <w:tcPr>
            <w:tcW w:type="dxa" w:w="3969"/>
            <w:shd w:fill="F5F7FA"/>
            <w:vAlign w:val="center"/>
          </w:tcPr>
          <w:p>
            <w:pPr>
              <w:spacing w:after="0"/>
            </w:pPr>
            <w:r/>
            <w:r>
              <w:rPr>
                <w:rFonts w:ascii="Aptos" w:hAnsi="Aptos"/>
                <w:b w:val="0"/>
                <w:sz w:val="18"/>
              </w:rPr>
              <w:t>De methode filtert nu op onverwerkte berichten; de historie blijft apart beschikbaar.</w:t>
            </w:r>
          </w:p>
        </w:tc>
      </w:tr>
      <w:tr>
        <w:trPr>
          <w:cantSplit/>
        </w:trPr>
        <w:tc>
          <w:tcPr>
            <w:tcW w:type="dxa" w:w="1814"/>
            <w:vAlign w:val="center"/>
          </w:tcPr>
          <w:p>
            <w:pPr>
              <w:spacing w:after="0"/>
            </w:pPr>
            <w:r/>
            <w:r>
              <w:rPr>
                <w:rFonts w:ascii="Aptos" w:hAnsi="Aptos"/>
                <w:b/>
                <w:sz w:val="18"/>
              </w:rPr>
              <w:t>Collecties</w:t>
            </w:r>
          </w:p>
        </w:tc>
        <w:tc>
          <w:tcPr>
            <w:tcW w:type="dxa" w:w="3685"/>
            <w:vAlign w:val="center"/>
          </w:tcPr>
          <w:p>
            <w:pPr>
              <w:spacing w:after="0"/>
            </w:pPr>
            <w:r/>
            <w:r>
              <w:rPr>
                <w:rFonts w:ascii="Aptos" w:hAnsi="Aptos"/>
                <w:b w:val="0"/>
                <w:sz w:val="18"/>
              </w:rPr>
              <w:t>Interne lijsten konden via getters van buitenaf worden aangepast.</w:t>
            </w:r>
          </w:p>
        </w:tc>
        <w:tc>
          <w:tcPr>
            <w:tcW w:type="dxa" w:w="3969"/>
            <w:vAlign w:val="center"/>
          </w:tcPr>
          <w:p>
            <w:pPr>
              <w:spacing w:after="0"/>
            </w:pPr>
            <w:r/>
            <w:r>
              <w:rPr>
                <w:rFonts w:ascii="Aptos" w:hAnsi="Aptos"/>
                <w:b w:val="0"/>
                <w:sz w:val="18"/>
              </w:rPr>
              <w:t>Getters retourneren onveranderbare kopieën.</w:t>
            </w:r>
          </w:p>
        </w:tc>
      </w:tr>
      <w:tr>
        <w:trPr>
          <w:cantSplit/>
        </w:trPr>
        <w:tc>
          <w:tcPr>
            <w:tcW w:type="dxa" w:w="1814"/>
            <w:shd w:fill="F5F7FA"/>
            <w:vAlign w:val="center"/>
          </w:tcPr>
          <w:p>
            <w:pPr>
              <w:spacing w:after="0"/>
            </w:pPr>
            <w:r/>
            <w:r>
              <w:rPr>
                <w:rFonts w:ascii="Aptos" w:hAnsi="Aptos"/>
                <w:b/>
                <w:sz w:val="18"/>
              </w:rPr>
              <w:t>Tests en build</w:t>
            </w:r>
          </w:p>
        </w:tc>
        <w:tc>
          <w:tcPr>
            <w:tcW w:type="dxa" w:w="3685"/>
            <w:shd w:fill="F5F7FA"/>
            <w:vAlign w:val="center"/>
          </w:tcPr>
          <w:p>
            <w:pPr>
              <w:spacing w:after="0"/>
            </w:pPr>
            <w:r/>
            <w:r>
              <w:rPr>
                <w:rFonts w:ascii="Aptos" w:hAnsi="Aptos"/>
                <w:b w:val="0"/>
                <w:sz w:val="18"/>
              </w:rPr>
              <w:t>Er was geen standaard buildbestand en één test verwachtte onjuist gedrag bij volle capaciteit.</w:t>
            </w:r>
          </w:p>
        </w:tc>
        <w:tc>
          <w:tcPr>
            <w:tcW w:type="dxa" w:w="3969"/>
            <w:shd w:fill="F5F7FA"/>
            <w:vAlign w:val="center"/>
          </w:tcPr>
          <w:p>
            <w:pPr>
              <w:spacing w:after="0"/>
            </w:pPr>
            <w:r/>
            <w:r>
              <w:rPr>
                <w:rFonts w:ascii="Aptos" w:hAnsi="Aptos"/>
                <w:b w:val="0"/>
                <w:sz w:val="18"/>
              </w:rPr>
              <w:t>Maven-structuur toegevoegd en de testverwachting gecorrigeerd en uitgebreid.</w:t>
            </w:r>
          </w:p>
        </w:tc>
      </w:tr>
      <w:tr>
        <w:trPr>
          <w:cantSplit/>
        </w:trPr>
        <w:tc>
          <w:tcPr>
            <w:tcW w:type="dxa" w:w="1814"/>
            <w:vAlign w:val="center"/>
          </w:tcPr>
          <w:p>
            <w:pPr>
              <w:spacing w:after="0"/>
            </w:pPr>
            <w:r/>
            <w:r>
              <w:rPr>
                <w:rFonts w:ascii="Aptos" w:hAnsi="Aptos"/>
                <w:b/>
                <w:sz w:val="18"/>
              </w:rPr>
              <w:t>Main</w:t>
            </w:r>
          </w:p>
        </w:tc>
        <w:tc>
          <w:tcPr>
            <w:tcW w:type="dxa" w:w="3685"/>
            <w:vAlign w:val="center"/>
          </w:tcPr>
          <w:p>
            <w:pPr>
              <w:spacing w:after="0"/>
            </w:pPr>
            <w:r/>
            <w:r>
              <w:rPr>
                <w:rFonts w:ascii="Aptos" w:hAnsi="Aptos"/>
                <w:b w:val="0"/>
                <w:sz w:val="18"/>
              </w:rPr>
              <w:t>De gekozen gemeente werd niet gebruikt; de plaatsing bleef hardcoded op Den Haag.</w:t>
            </w:r>
          </w:p>
        </w:tc>
        <w:tc>
          <w:tcPr>
            <w:tcW w:type="dxa" w:w="3969"/>
            <w:vAlign w:val="center"/>
          </w:tcPr>
          <w:p>
            <w:pPr>
              <w:spacing w:after="0"/>
            </w:pPr>
            <w:r/>
            <w:r>
              <w:rPr>
                <w:rFonts w:ascii="Aptos" w:hAnsi="Aptos"/>
                <w:b w:val="0"/>
                <w:sz w:val="18"/>
              </w:rPr>
              <w:t>Het gekozen AZC komt nu uit de gemeente die de actieve Strategy selecteert.</w:t>
            </w:r>
          </w:p>
        </w:tc>
      </w:tr>
      <w:tr>
        <w:trPr>
          <w:cantSplit/>
        </w:trPr>
        <w:tc>
          <w:tcPr>
            <w:tcW w:type="dxa" w:w="1814"/>
            <w:shd w:fill="F5F7FA"/>
            <w:vAlign w:val="center"/>
          </w:tcPr>
          <w:p>
            <w:pPr>
              <w:spacing w:after="0"/>
            </w:pPr>
            <w:r/>
            <w:r>
              <w:rPr>
                <w:rFonts w:ascii="Aptos" w:hAnsi="Aptos"/>
                <w:b/>
                <w:sz w:val="18"/>
              </w:rPr>
              <w:t>Documentatie</w:t>
            </w:r>
          </w:p>
        </w:tc>
        <w:tc>
          <w:tcPr>
            <w:tcW w:type="dxa" w:w="3685"/>
            <w:shd w:fill="F5F7FA"/>
            <w:vAlign w:val="center"/>
          </w:tcPr>
          <w:p>
            <w:pPr>
              <w:spacing w:after="0"/>
            </w:pPr>
            <w:r/>
            <w:r>
              <w:rPr>
                <w:rFonts w:ascii="Aptos" w:hAnsi="Aptos"/>
                <w:b w:val="0"/>
                <w:sz w:val="18"/>
              </w:rPr>
              <w:t>UML-package van Dossier kwam niet overeen met de code en de rapportage bevatte niet-onderbouwde ratings.</w:t>
            </w:r>
          </w:p>
        </w:tc>
        <w:tc>
          <w:tcPr>
            <w:tcW w:type="dxa" w:w="3969"/>
            <w:shd w:fill="F5F7FA"/>
            <w:vAlign w:val="center"/>
          </w:tcPr>
          <w:p>
            <w:pPr>
              <w:spacing w:after="0"/>
            </w:pPr>
            <w:r/>
            <w:r>
              <w:rPr>
                <w:rFonts w:ascii="Aptos" w:hAnsi="Aptos"/>
                <w:b w:val="0"/>
                <w:sz w:val="18"/>
              </w:rPr>
              <w:t>UML en rapportage zijn opnieuw afgestemd op aantoonbare projectresultaten.</w:t>
            </w:r>
          </w:p>
        </w:tc>
      </w:tr>
      <w:tr>
        <w:tc>
          <w:tcPr>
            <w:tcW w:type="dxa" w:w="3324"/>
          </w:tcPr>
          <w:p>
            <w:r>
              <w:rPr>
                <w:b/>
              </w:rPr>
              <w:t>Encapsulatie plaatsing</w:t>
            </w:r>
          </w:p>
        </w:tc>
        <w:tc>
          <w:tcPr>
            <w:tcW w:type="dxa" w:w="3324"/>
          </w:tcPr>
          <w:p>
            <w:r>
              <w:t>Publieke hulpmethoden in AZC en Gemeente konden rechtstreeks worden aangeroepen, waardoor bewonerslijsten, vluchteling en gemeenteteller opnieuw uit elkaar konden lopen.</w:t>
            </w:r>
          </w:p>
        </w:tc>
        <w:tc>
          <w:tcPr>
            <w:tcW w:type="dxa" w:w="3324"/>
          </w:tcPr>
          <w:p>
            <w:r>
              <w:t>De mutatiemethoden zijn package-private gemaakt. Vluchteling.plaatsInAZC is nu het enige publieke mutatiepunt voor de volledige plaatsingsrelatie.</w:t>
            </w:r>
          </w:p>
        </w:tc>
      </w:tr>
    </w:tbl>
    <w:p>
      <w:pPr>
        <w:pStyle w:val="Heading1"/>
      </w:pPr>
      <w:r>
        <w:t>3. Beoordeling van de ontwerppatronen</w:t>
      </w:r>
    </w:p>
    <w:p>
      <w:pPr>
        <w:pStyle w:val="Heading2"/>
      </w:pPr>
      <w:r>
        <w:t>Strategy Pattern</w:t>
      </w:r>
    </w:p>
    <w:p>
      <w:r>
        <w:rPr>
          <w:b/>
        </w:rPr>
        <w:t xml:space="preserve">Correct toegepast: </w:t>
      </w:r>
      <w:r>
        <w:t>de selectie-algoritmes zijn geïsoleerd achter PlaatsingsStrategie en kunnen via PlaatsingsContext worden verwisseld. De correctie zorgt ervoor dat beide strategieën dezelfde basisregel respecteren: alleen een gemeente met vrije capaciteit is geldig.</w:t>
      </w:r>
    </w:p>
    <w:p>
      <w:pPr>
        <w:pStyle w:val="Heading2"/>
      </w:pPr>
      <w:r>
        <w:t>Observer Pattern</w:t>
      </w:r>
    </w:p>
    <w:p>
      <w:r>
        <w:rPr>
          <w:b/>
        </w:rPr>
        <w:t xml:space="preserve">Correct toegepast: </w:t>
      </w:r>
      <w:r>
        <w:t>Dossier kent alleen de DossierObserver-interface. Berichtenbox en de teststub reageren via update. Dubbele observerregistraties en dubbele notificaties bij een ongewijzigde uitspraak worden voorkomen.</w:t>
      </w:r>
    </w:p>
    <w:p>
      <w:pPr>
        <w:pStyle w:val="Heading2"/>
      </w:pPr>
      <w:r>
        <w:t>Template Method Pattern</w:t>
      </w:r>
    </w:p>
    <w:p>
      <w:r>
        <w:rPr>
          <w:b/>
        </w:rPr>
        <w:t xml:space="preserve">Correct toegepast: </w:t>
      </w:r>
      <w:r>
        <w:t>ActieVerwerker bewaakt de vaste uitvoervolgorde. Registratie en plaatsing leveren alleen hun specifieke stappen. De werkelijke domeinconsistentie is niet langer verdeeld over meerdere template-stappen, maar wordt veilig door het domeinmodel uitgevoerd.</w:t>
      </w:r>
    </w:p>
    <w:p>
      <w:pPr>
        <w:pStyle w:val="Heading1"/>
      </w:pPr>
      <w:r>
        <w:t>4. Codekwaliteit en onderhoudbaarheid</w:t>
      </w:r>
    </w:p>
    <w:p>
      <w:pPr>
        <w:pStyle w:val="ListBullet"/>
        <w:spacing w:after="60"/>
      </w:pPr>
      <w:r>
        <w:t>Duidelijke verantwoordelijkheden: strategie, notificatie, rapportage en actieafhandeling zijn van elkaar gescheiden.</w:t>
      </w:r>
    </w:p>
    <w:p>
      <w:pPr>
        <w:pStyle w:val="ListBullet"/>
        <w:spacing w:after="60"/>
      </w:pPr>
      <w:r>
        <w:t>Defensieve validatie: nullwaarden, lege invoer, ongeldige aantallen en dubbel verwerken worden expliciet afgewezen.</w:t>
      </w:r>
    </w:p>
    <w:p>
      <w:pPr>
        <w:pStyle w:val="ListBullet"/>
        <w:spacing w:after="60"/>
      </w:pPr>
      <w:r>
        <w:t>Consistente relaties: verhuizen verwijdert eerst de oude registratie en voegt daarna de nieuwe toe; bij een fout wordt de oude toestand hersteld.</w:t>
      </w:r>
    </w:p>
    <w:p>
      <w:pPr>
        <w:pStyle w:val="ListBullet"/>
        <w:spacing w:after="60"/>
      </w:pPr>
      <w:r>
        <w:t>Veilige API: interne ArrayLists worden niet rechtstreeks blootgesteld en interne plaatsingsmutaties zijn niet publiek toegankelijk.</w:t>
      </w:r>
    </w:p>
    <w:p>
      <w:pPr>
        <w:pStyle w:val="ListBullet"/>
        <w:spacing w:after="60"/>
      </w:pPr>
      <w:r>
        <w:t>Herhaalbare build: pom.xml legt Java- en JUnit-versies vast en gebruikt de standaard Maven-mapstructuur.</w:t>
      </w:r>
    </w:p>
    <w:p>
      <w:r>
        <w:rPr>
          <w:b/>
        </w:rPr>
        <w:t xml:space="preserve">Niet geclaimd: </w:t>
      </w:r>
      <w:r>
        <w:t>er is in deze oplevering geen nieuw SonarQube- of Sigrid-rapport uitgevoerd of meegeleverd. Daarom worden geen A-rating, technical-debtwaarde of duplicatiepercentage als gemeten resultaat gepresenteerd. Een dergelijke rating moet altijd worden onderbouwd met het daadwerkelijke analyse-exportbestand of een reproduceerbare scan.</w:t>
      </w:r>
    </w:p>
    <w:p>
      <w:pPr>
        <w:pStyle w:val="Heading1"/>
      </w:pPr>
      <w:r>
        <w:t>5. Testdekking</w:t>
      </w:r>
    </w:p>
    <w:p>
      <w:pPr>
        <w:pStyle w:val="ListBullet"/>
        <w:spacing w:after="60"/>
      </w:pPr>
      <w:r>
        <w:t>lege gemeentelijst;</w:t>
      </w:r>
    </w:p>
    <w:p>
      <w:pPr>
        <w:pStyle w:val="ListBullet"/>
        <w:spacing w:after="60"/>
      </w:pPr>
      <w:r>
        <w:t>volle gemeente;</w:t>
      </w:r>
    </w:p>
    <w:p>
      <w:pPr>
        <w:pStyle w:val="ListBullet"/>
        <w:spacing w:after="60"/>
      </w:pPr>
      <w:r>
        <w:t>hoogste vrije capaciteit;</w:t>
      </w:r>
    </w:p>
    <w:p>
      <w:pPr>
        <w:pStyle w:val="ListBullet"/>
        <w:spacing w:after="60"/>
      </w:pPr>
      <w:r>
        <w:t>laagste relatieve belasting met uitsluiting van volle gemeentes;</w:t>
      </w:r>
    </w:p>
    <w:p>
      <w:pPr>
        <w:pStyle w:val="ListBullet"/>
        <w:spacing w:after="60"/>
      </w:pPr>
      <w:r>
        <w:t>consistente plaatsing aan beide kanten van de relatie;</w:t>
      </w:r>
    </w:p>
    <w:p>
      <w:pPr>
        <w:pStyle w:val="ListBullet"/>
        <w:spacing w:after="60"/>
      </w:pPr>
      <w:r>
        <w:t>verplaatsing tussen twee AZC’s;</w:t>
      </w:r>
    </w:p>
    <w:p>
      <w:pPr>
        <w:pStyle w:val="ListBullet"/>
        <w:spacing w:after="60"/>
      </w:pPr>
      <w:r>
        <w:t>verhuizing binnen een volle gemeente zonder extra capaciteit te gebruiken;</w:t>
      </w:r>
    </w:p>
    <w:p>
      <w:pPr>
        <w:pStyle w:val="ListBullet"/>
        <w:spacing w:after="60"/>
      </w:pPr>
      <w:r>
        <w:t>behoud van de oude plaatsing wanneer de bestemming vol is;</w:t>
      </w:r>
    </w:p>
    <w:p>
      <w:pPr>
        <w:pStyle w:val="ListBullet"/>
        <w:spacing w:after="60"/>
      </w:pPr>
      <w:r>
        <w:t>voorkomen van capaciteitsoverschrijding;</w:t>
      </w:r>
    </w:p>
    <w:p>
      <w:pPr>
        <w:pStyle w:val="ListBullet"/>
        <w:spacing w:after="60"/>
      </w:pPr>
      <w:r>
        <w:t>observermelding via stub;</w:t>
      </w:r>
    </w:p>
    <w:p>
      <w:pPr>
        <w:pStyle w:val="ListBullet"/>
        <w:spacing w:after="60"/>
      </w:pPr>
      <w:r>
        <w:t>geen dubbele melding bij dezelfde uitspraak;</w:t>
      </w:r>
    </w:p>
    <w:p>
      <w:pPr>
        <w:pStyle w:val="ListBullet"/>
        <w:spacing w:after="60"/>
      </w:pPr>
      <w:r>
        <w:t>verwerkt bericht verdwijnt uit de ongelezen lijst;</w:t>
      </w:r>
    </w:p>
    <w:p>
      <w:pPr>
        <w:pStyle w:val="ListBullet"/>
        <w:spacing w:after="60"/>
      </w:pPr>
      <w:r>
        <w:t>onveranderbare geretourneerde collecties.</w:t>
      </w:r>
    </w:p>
    <w:p>
      <w:pPr>
        <w:pStyle w:val="ListBullet"/>
      </w:pPr>
      <w:r>
        <w:t>context zonder geselecteerde strategie geeft een duidelijke fout;</w:t>
      </w:r>
    </w:p>
    <w:p>
      <w:pPr>
        <w:pStyle w:val="ListBullet"/>
      </w:pPr>
      <w:r>
        <w:t>dezelfde vluchteling tweemaal in hetzelfde AZC geeft geen dubbele registratie;</w:t>
      </w:r>
    </w:p>
    <w:p>
      <w:pPr>
        <w:pStyle w:val="ListBullet"/>
      </w:pPr>
      <w:r>
        <w:t>interne mutatiemethoden van AZC en Gemeente zijn niet publiek;</w:t>
      </w:r>
    </w:p>
    <w:p>
      <w:pPr>
        <w:pStyle w:val="ListBullet"/>
      </w:pPr>
      <w:r>
        <w:t>null-observer wordt expliciet afgewezen;</w:t>
      </w:r>
    </w:p>
    <w:p>
      <w:pPr>
        <w:pStyle w:val="ListBullet"/>
      </w:pPr>
      <w:r>
        <w:t>een bericht kan niet tweemaal worden verwerkt;</w:t>
      </w:r>
    </w:p>
    <w:p>
      <w:pPr>
        <w:pStyle w:val="ListBullet"/>
      </w:pPr>
      <w:r>
        <w:t>lege verplichte tekst wordt afgewezen.</w:t>
      </w:r>
    </w:p>
    <w:p>
      <w:pPr>
        <w:pStyle w:val="Heading1"/>
      </w:pPr>
      <w:r>
        <w:t>6. Conclusie</w:t>
      </w:r>
    </w:p>
    <w:p>
      <w:r>
        <w:rPr>
          <w:b/>
        </w:rPr>
        <w:t xml:space="preserve">De oorspronkelijke versie compileerde, maar bevatte meerdere functionele inconsistenties die niet door de oorspronkelijke tests werden afgevangen. </w:t>
      </w:r>
      <w:r>
        <w:t>De gecorrigeerde versie bewaakt capaciteit, houdt objectrelaties consistent, verwerkt meldingen correct en is als standaard Maven-project reproduceerbaar. De drie gevraagde ontwerppatronen blijven zichtbaar en zijn nu ondersteund door uitgebreidere tests en documentatie die overeenkomt met de code.</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OPT3 Casus Java – gecorrigeerde kwaliteitsrapportage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