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slide-by-slide presentation outline evaluating and comparing the top four Commerce Media Networks (</w:t>
      </w:r>
      <w:r w:rsidDel="00000000" w:rsidR="00000000" w:rsidRPr="00000000">
        <w:rPr>
          <w:b w:val="1"/>
          <w:bCs w:val="1"/>
          <w:rtl w:val="0"/>
        </w:rPr>
        <w:t xml:space="preserve">Amazon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Walmart Connect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Kroger Precision Marketing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Instacart Ads</w:t>
      </w:r>
      <w:r w:rsidDel="00000000" w:rsidR="00000000" w:rsidRPr="00000000">
        <w:rPr>
          <w:rtl w:val="0"/>
        </w:rPr>
        <w:t xml:space="preserve">) against core Advertiser Experience (AX) benchmarks: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5bjlsvk1yln" w:id="0"/>
      <w:bookmarkEnd w:id="0"/>
      <w:r w:rsidDel="00000000" w:rsidR="00000000" w:rsidRPr="00000000">
        <w:rPr>
          <w:rtl w:val="0"/>
        </w:rPr>
        <w:t xml:space="preserve">Presentation Outline: Benchmarking Top Commerce Media Platforms on Advertiser Experience (AX)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krq2n5pzjdui" w:id="1"/>
      <w:bookmarkEnd w:id="1"/>
      <w:r w:rsidDel="00000000" w:rsidR="00000000" w:rsidRPr="00000000">
        <w:rPr>
          <w:rtl w:val="0"/>
        </w:rPr>
        <w:t xml:space="preserve">Slide 1: Executive Overview – The Commerce Media AX Landscape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Balancing National Scale, Operational Usability, and Category Depth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Consolidation Shift:</w:t>
      </w:r>
      <w:r w:rsidDel="00000000" w:rsidR="00000000" w:rsidRPr="00000000">
        <w:rPr>
          <w:rtl w:val="0"/>
        </w:rPr>
        <w:t xml:space="preserve"> The top four networks control the vast majority of addressable commerce media spend, but split sharply between broad marketplace scale and specialized category intent 1.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Ads:</w:t>
      </w:r>
      <w:r w:rsidDel="00000000" w:rsidR="00000000" w:rsidRPr="00000000">
        <w:rPr>
          <w:rtl w:val="0"/>
        </w:rPr>
        <w:t xml:space="preserve"> The undisputed benchmark for search capture and self-service ad tech scale, but suffers from high cost-per-click (CPC) competition and marketplace saturation 2-4.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Connect:</w:t>
      </w:r>
      <w:r w:rsidDel="00000000" w:rsidR="00000000" w:rsidRPr="00000000">
        <w:rPr>
          <w:rtl w:val="0"/>
        </w:rPr>
        <w:t xml:space="preserve"> Dominates physical store integration (150 million weekly shoppers) and offers 55% lower average CPCs than Amazon, but requires structured spend commitments for gated features 2, 5-7.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 (84.51°):</w:t>
      </w:r>
      <w:r w:rsidDel="00000000" w:rsidR="00000000" w:rsidRPr="00000000">
        <w:rPr>
          <w:rtl w:val="0"/>
        </w:rPr>
        <w:t xml:space="preserve"> Sets the gold standard for grocery household purchase data and statistical incrementality, though constrained by regional store footprints 3, 8, 9.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Ads:</w:t>
      </w:r>
      <w:r w:rsidDel="00000000" w:rsidR="00000000" w:rsidRPr="00000000">
        <w:rPr>
          <w:rtl w:val="0"/>
        </w:rPr>
        <w:t xml:space="preserve"> Leads in open-cart purchase intent and native self-service ease, but remains specialized within fast-moving consumer goods (FMCG) and grocery verticals 10-12.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d0fmcukcsr7" w:id="2"/>
      <w:bookmarkEnd w:id="2"/>
      <w:r w:rsidDel="00000000" w:rsidR="00000000" w:rsidRPr="00000000">
        <w:rPr>
          <w:rtl w:val="0"/>
        </w:rPr>
        <w:t xml:space="preserve">Slide 2: Dimension 1 – Workflow Simplicity &amp; Platform Accessibility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Self-Service Automation, Entry Minimums, and API Interoperability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Ads:</w:t>
      </w:r>
      <w:r w:rsidDel="00000000" w:rsidR="00000000" w:rsidRPr="00000000">
        <w:rPr>
          <w:rtl w:val="0"/>
        </w:rPr>
        <w:t xml:space="preserve"> Highly accessible self-service model with zero monthly spend minimums, automated campaign creation via AI Creative Studio, and comprehensive API integrations 2, 7, 13, 14.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Connect:</w:t>
      </w:r>
      <w:r w:rsidDel="00000000" w:rsidR="00000000" w:rsidRPr="00000000">
        <w:rPr>
          <w:rtl w:val="0"/>
        </w:rPr>
        <w:t xml:space="preserve"> Blends self-service with managed services; features minimum spend guidelines (e.g., ~\$4,500 suggested monthly minimum) while automated creative tools (ACG) have cut asset creation time by 80% 2, 5, 7.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Ads:</w:t>
      </w:r>
      <w:r w:rsidDel="00000000" w:rsidR="00000000" w:rsidRPr="00000000">
        <w:rPr>
          <w:rtl w:val="0"/>
        </w:rPr>
        <w:t xml:space="preserve"> Recognized for intuitive self-service onboarding (Instacart Ads Manager) with lower minimum spend thresholds for emerging brands and transparent public documentation 15-17.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Marketing:</w:t>
      </w:r>
      <w:r w:rsidDel="00000000" w:rsidR="00000000" w:rsidRPr="00000000">
        <w:rPr>
          <w:rtl w:val="0"/>
        </w:rPr>
        <w:t xml:space="preserve"> Features the Kroger Ad Platform (KAP) with transparent second-price auctions, explicit bid modifier controls, and direct API partnerships with Pacvue and Skai 17, 18.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juqdv86sjpw" w:id="3"/>
      <w:bookmarkEnd w:id="3"/>
      <w:r w:rsidDel="00000000" w:rsidR="00000000" w:rsidRPr="00000000">
        <w:rPr>
          <w:rtl w:val="0"/>
        </w:rPr>
        <w:t xml:space="preserve">Slide 3: Dimension 3 – Audience Quality &amp; First-Party Targeting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Deterministic Shopper Signals vs. Broad Reach Scale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Ads:</w:t>
      </w:r>
      <w:r w:rsidDel="00000000" w:rsidR="00000000" w:rsidRPr="00000000">
        <w:rPr>
          <w:rtl w:val="0"/>
        </w:rPr>
        <w:t xml:space="preserve"> Unrivaled digital scale (</w:t>
      </w:r>
      <w:r w:rsidDel="00000000" w:rsidR="00000000" w:rsidRPr="00000000">
        <w:rPr>
          <w:b w:val="1"/>
          <w:bCs w:val="1"/>
          <w:rtl w:val="0"/>
        </w:rPr>
        <w:t xml:space="preserve">275M+ shoppers</w:t>
      </w:r>
      <w:r w:rsidDel="00000000" w:rsidR="00000000" w:rsidRPr="00000000">
        <w:rPr>
          <w:rtl w:val="0"/>
        </w:rPr>
        <w:t xml:space="preserve">) driven by high-intent product searches, Prime streaming data, and cross-property browsing history 2, 3, 13.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Connect:</w:t>
      </w:r>
      <w:r w:rsidDel="00000000" w:rsidR="00000000" w:rsidRPr="00000000">
        <w:rPr>
          <w:rtl w:val="0"/>
        </w:rPr>
        <w:t xml:space="preserve"> Leverages deterministic purchase data across </w:t>
      </w:r>
      <w:r w:rsidDel="00000000" w:rsidR="00000000" w:rsidRPr="00000000">
        <w:rPr>
          <w:b w:val="1"/>
          <w:bCs w:val="1"/>
          <w:rtl w:val="0"/>
        </w:rPr>
        <w:t xml:space="preserve">4,600+ physical stores</w:t>
      </w:r>
      <w:r w:rsidDel="00000000" w:rsidR="00000000" w:rsidRPr="00000000">
        <w:rPr>
          <w:rtl w:val="0"/>
        </w:rPr>
        <w:t xml:space="preserve"> and digital channels, capturing omnichannel journeys across 150M weekly visitors 6, 7, 19.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Marketing:</w:t>
      </w:r>
      <w:r w:rsidDel="00000000" w:rsidR="00000000" w:rsidRPr="00000000">
        <w:rPr>
          <w:rtl w:val="0"/>
        </w:rPr>
        <w:t xml:space="preserve"> Deepest grocery loyalty card signals built on </w:t>
      </w:r>
      <w:r w:rsidDel="00000000" w:rsidR="00000000" w:rsidRPr="00000000">
        <w:rPr>
          <w:b w:val="1"/>
          <w:bCs w:val="1"/>
          <w:rtl w:val="0"/>
        </w:rPr>
        <w:t xml:space="preserve">60M+ households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3,500+ granular purchase attributes</w:t>
      </w:r>
      <w:r w:rsidDel="00000000" w:rsidR="00000000" w:rsidRPr="00000000">
        <w:rPr>
          <w:rtl w:val="0"/>
        </w:rPr>
        <w:t xml:space="preserve"> via 84.51° 3, 6, 8.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Ads:</w:t>
      </w:r>
      <w:r w:rsidDel="00000000" w:rsidR="00000000" w:rsidRPr="00000000">
        <w:rPr>
          <w:rtl w:val="0"/>
        </w:rPr>
        <w:t xml:space="preserve"> Captures active, high-intent grocery shopping carts across </w:t>
      </w:r>
      <w:r w:rsidDel="00000000" w:rsidR="00000000" w:rsidRPr="00000000">
        <w:rPr>
          <w:b w:val="1"/>
          <w:bCs w:val="1"/>
          <w:rtl w:val="0"/>
        </w:rPr>
        <w:t xml:space="preserve">2,200+ retail banners</w:t>
      </w:r>
      <w:r w:rsidDel="00000000" w:rsidR="00000000" w:rsidRPr="00000000">
        <w:rPr>
          <w:rtl w:val="0"/>
        </w:rPr>
        <w:t xml:space="preserve"> reaching </w:t>
      </w:r>
      <w:r w:rsidDel="00000000" w:rsidR="00000000" w:rsidRPr="00000000">
        <w:rPr>
          <w:b w:val="1"/>
          <w:bCs w:val="1"/>
          <w:rtl w:val="0"/>
        </w:rPr>
        <w:t xml:space="preserve">59M+ active shoppers</w:t>
      </w:r>
      <w:r w:rsidDel="00000000" w:rsidR="00000000" w:rsidRPr="00000000">
        <w:rPr>
          <w:rtl w:val="0"/>
        </w:rPr>
        <w:t xml:space="preserve"> 20-22.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pbyektur8yz0" w:id="4"/>
      <w:bookmarkEnd w:id="4"/>
      <w:r w:rsidDel="00000000" w:rsidR="00000000" w:rsidRPr="00000000">
        <w:rPr>
          <w:rtl w:val="0"/>
        </w:rPr>
        <w:t xml:space="preserve">Slide 4: Dimension 2 – Measurement Rigor &amp; Incrementality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Moving Beyond "ROAS Theater" to Causal Sales Lift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Ads:</w:t>
      </w:r>
      <w:r w:rsidDel="00000000" w:rsidR="00000000" w:rsidRPr="00000000">
        <w:rPr>
          <w:rtl w:val="0"/>
        </w:rPr>
        <w:t xml:space="preserve"> Industry leader in clean-room analytics via Amazon Marketing Cloud (AMC) with up to 5-year lookback windows, though dashboard ROAS remains last-touch dependent 5, 23, 24.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Connect:</w:t>
      </w:r>
      <w:r w:rsidDel="00000000" w:rsidR="00000000" w:rsidRPr="00000000">
        <w:rPr>
          <w:rtl w:val="0"/>
        </w:rPr>
        <w:t xml:space="preserve"> Closed-loop online-to-in-store sales attribution matching digital impressions to register transactions, backed by MRC accreditation for search 5, 7.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Marketing:</w:t>
      </w:r>
      <w:r w:rsidDel="00000000" w:rsidR="00000000" w:rsidRPr="00000000">
        <w:rPr>
          <w:rtl w:val="0"/>
        </w:rPr>
        <w:t xml:space="preserve"> Benchmark for statistical incrementality (test vs. control holdouts) and SKU-level basket modeling 3, 8, 9, 25.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Ads:</w:t>
      </w:r>
      <w:r w:rsidDel="00000000" w:rsidR="00000000" w:rsidRPr="00000000">
        <w:rPr>
          <w:rtl w:val="0"/>
        </w:rPr>
        <w:t xml:space="preserve"> Strong reported grocery ROAS (\$5.25 average; 5x–8x+ on branded search) with expanded MRC accreditation for impressions, viewability, and closed-loop conversions 16, 26, 27.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133scoo3z85g" w:id="5"/>
      <w:bookmarkEnd w:id="5"/>
      <w:r w:rsidDel="00000000" w:rsidR="00000000" w:rsidRPr="00000000">
        <w:rPr>
          <w:rtl w:val="0"/>
        </w:rPr>
        <w:t xml:space="preserve">Slide 5: Dimension 4 – Omnichannel &amp; Offsite Capabilities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Programmatic Ecosystems, Offsite Media, and Digitized Stores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Bullet Points: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Ads:</w:t>
      </w:r>
      <w:r w:rsidDel="00000000" w:rsidR="00000000" w:rsidRPr="00000000">
        <w:rPr>
          <w:rtl w:val="0"/>
        </w:rPr>
        <w:t xml:space="preserve"> Dominates offsite display, video, and CTV via Amazon DSP and Prime Video, but physical store ad inventory remains limited outside Whole Foods 2, 5.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Connect:</w:t>
      </w:r>
      <w:r w:rsidDel="00000000" w:rsidR="00000000" w:rsidRPr="00000000">
        <w:rPr>
          <w:rtl w:val="0"/>
        </w:rPr>
        <w:t xml:space="preserve"> Unmatched in-store digitization (TV walls, self-checkout screens, in-store radio) plus offsite expansion via Vizio CTV acquisition and DV360 integrations 5, 11.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Marketing:</w:t>
      </w:r>
      <w:r w:rsidDel="00000000" w:rsidR="00000000" w:rsidRPr="00000000">
        <w:rPr>
          <w:rtl w:val="0"/>
        </w:rPr>
        <w:t xml:space="preserve"> Advanced offsite programmatic partnerships with The Trade Desk, Meta Advantage+ catalog ads, and Google DV360 18, 28, 29.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Ads:</w:t>
      </w:r>
      <w:r w:rsidDel="00000000" w:rsidR="00000000" w:rsidRPr="00000000">
        <w:rPr>
          <w:rtl w:val="0"/>
        </w:rPr>
        <w:t xml:space="preserve"> Licenses white-label retail media infrastructure to </w:t>
      </w:r>
      <w:r w:rsidDel="00000000" w:rsidR="00000000" w:rsidRPr="00000000">
        <w:rPr>
          <w:b w:val="1"/>
          <w:bCs w:val="1"/>
          <w:rtl w:val="0"/>
        </w:rPr>
        <w:t xml:space="preserve">1,800+ retailer partners</w:t>
      </w:r>
      <w:r w:rsidDel="00000000" w:rsidR="00000000" w:rsidRPr="00000000">
        <w:rPr>
          <w:rtl w:val="0"/>
        </w:rPr>
        <w:t xml:space="preserve"> via Carrot Ads, alongside shoppable integrations on YouTube, Pinterest, and Google AI search 15, 22, 30, 31.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i76paqhxauh" w:id="6"/>
      <w:bookmarkEnd w:id="6"/>
      <w:r w:rsidDel="00000000" w:rsidR="00000000" w:rsidRPr="00000000">
        <w:rPr>
          <w:rtl w:val="0"/>
        </w:rPr>
        <w:t xml:space="preserve">Slide 6: AX Comparison Matrix Across Core Platforms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Platform,Primary AX Strength,Usability / Entry Barrier,Measurement Model,Ideal Brand Category,Key Limitation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Amazon Ads,"Scale, Search Capture &amp; DSP 2, 3","High Usability / No Minimums 2, 7",AMC Clean Room / 5-Yr Lookbacks 24,"General Merchandise &amp; Electronics 25, 32",High CPC Bidding Competition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Walmart Connect,"Omnichannel Store Attribution 5, 6","Moderate / Suggested Minimums 2, 7",Closed-Loop In-Store + Online 7,"Mass Market &amp; CPG 11, 25","Planned Spend Commitments 2, 7"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Kroger Precision,"84.51° Data &amp; Incrementality 3, 8","Moderate / Self-Serve KAP 17, 18","Test vs. Control Holdouts 8, 9","Grocery &amp; FMCG 9, 25",Regional Store Footprint 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Instacart Ads,"Open-Cart Intent &amp; Fast Setup 15, 22","High Usability / Low Minimums 12, 15","Closed-Loop &amp; MRC Accredited 16, 27","Grocery &amp; FMCG 12, 25","Limited to Food/FMCG Verticals 9, 12"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Would you like me to generate this slide deck in the Studio panel using the content studio tool, or convert it into an editable PowerPoint presentation (.pptx)?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