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the commerce media market shifts from rapid inventory expansion into an operational </w:t>
      </w:r>
      <w:r w:rsidDel="00000000" w:rsidR="00000000" w:rsidRPr="00000000">
        <w:rPr>
          <w:rtl w:val="0"/>
        </w:rPr>
        <w:t xml:space="preserve">performance era</w:t>
      </w:r>
      <w:r w:rsidDel="00000000" w:rsidR="00000000" w:rsidRPr="00000000">
        <w:rPr>
          <w:rtl w:val="0"/>
        </w:rPr>
        <w:t xml:space="preserve">, the "winners" will be defined by how effectively they solve advertiser friction, prove causal sales impact, and deliver full-funnel orchestration 1-3.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jno8n2smfvm" w:id="0"/>
      <w:bookmarkEnd w:id="0"/>
      <w:r w:rsidDel="00000000" w:rsidR="00000000" w:rsidRPr="00000000">
        <w:rPr>
          <w:rtl w:val="0"/>
        </w:rPr>
        <w:t xml:space="preserve">What the "Winners" Will Be Going to Market With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Orchestrated Full-Stack Infrastructure over Channel Silos</w:t>
      </w:r>
      <w:r w:rsidDel="00000000" w:rsidR="00000000" w:rsidRPr="00000000">
        <w:rPr>
          <w:rtl w:val="0"/>
        </w:rPr>
        <w:t xml:space="preserve">Rather than managing onsite search, offsite display, in-store digital, and Connected TV (CTV) as disconnected ad units, leading networks are unifying these touchpoints into a single operating system built on shared first-party shopper data 1, 3. This allows advertisers to define an audience once and activate it seamlessly across the entire shopper journey 1, 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Agentic AI &amp; Inventory-Aware AutomationThe next phase of competitive differentiation centers on agentic AI workflows 4, 5. Winners are deploying AI agents that convert natural language prompts into campaign structures and clean-room SQL queries, automate creative production (cutting median asset creation time by up to 80%), and dynamically adjust bidding based on real-time inventory and profit margins 4, 6, 7.</w:t>
      </w:r>
    </w:p>
    <w:p w:rsidR="00000000" w:rsidDel="00000000" w:rsidP="00000000" w:rsidRDefault="00000000" w:rsidRPr="00000000" w14:paraId="00000005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3. Science-Backed Causal Incrementality &amp; Standardized Measurement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Leading platforms are abandoning self-graded last-touch Return on Ad Spend (ROAS) in favor of 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true causal incrementality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1, 2, 8. Winners go to market with built-in A/B test-vs-control holdout frameworks, MRC/IAB-compliant impression standards, and data clean rooms (e.g., Amazon Marketing Cloud, AWS Clean Rooms) that allow brands to match CRM data securely against deterministic purchase signals 1, 7-9.</w:t>
      </w:r>
    </w:p>
    <w:p w:rsidR="00000000" w:rsidDel="00000000" w:rsidP="00000000" w:rsidRDefault="00000000" w:rsidRPr="00000000" w14:paraId="00000006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4. Digitized Physical Stores &amp; Offsite Extensions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Growth is expanding beyond onsite web banners into physical retail stores (digital endcaps, smart carts, in-store audio) and premium offsite media, particularly Connected TV (CTV) 6, 7, 10. The best networks link digital ad exposures directly to physical register transactions 7, 10, 11.</w:t>
      </w:r>
    </w:p>
    <w:p w:rsidR="00000000" w:rsidDel="00000000" w:rsidP="00000000" w:rsidRDefault="00000000" w:rsidRPr="00000000" w14:paraId="00000007">
      <w:pPr>
        <w:pStyle w:val="Heading3"/>
        <w:rPr>
          <w:rFonts w:ascii="Everyday Sans" w:cs="Everyday Sans" w:eastAsia="Everyday Sans" w:hAnsi="Everyday Sans"/>
        </w:rPr>
      </w:pPr>
      <w:bookmarkStart w:colFirst="0" w:colLast="0" w:name="_xsfl616pzvz0" w:id="1"/>
      <w:bookmarkEnd w:id="1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Who Is Well-Positioned to Win</w:t>
      </w:r>
    </w:p>
    <w:p w:rsidR="00000000" w:rsidDel="00000000" w:rsidP="00000000" w:rsidRDefault="00000000" w:rsidRPr="00000000" w14:paraId="00000008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The ecosystem is consolidating into distinct strategic archetypes, with specific players occupying prime positions 7, 12, 13: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wxgmq4f3l9s7" w:id="2"/>
      <w:bookmarkEnd w:id="2"/>
      <w:r w:rsidDel="00000000" w:rsidR="00000000" w:rsidRPr="00000000">
        <w:rPr>
          <w:rtl w:val="0"/>
        </w:rPr>
        <w:t xml:space="preserve">1. The Scale Leaders: Amazon Ads &amp; Walmart Connect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Amazon Ads: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Continues to dominate total commerce media spend (\$56.8B+ projected ad revenue), leveraging massive e-commerce demand capture, sophisticated self-service DSP capabilities, Prime Video CTV reach, and clean-room analytics via Amazon Marketing Cloud 7, 9, 12, 14.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Walmart Connect: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Uniquely positioned at the intersection of digital and physical retail 7, 10, 11. With 150M+ weekly shoppers across 4,700 physical stores, Vizio CTV integration, and strong growth in agentic AI tooling, Walmart is the primary challenger driving true omnichannel closed-loop attribution 4, 7, 9-11.</w:t>
      </w:r>
    </w:p>
    <w:p w:rsidR="00000000" w:rsidDel="00000000" w:rsidP="00000000" w:rsidRDefault="00000000" w:rsidRPr="00000000" w14:paraId="0000000C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fewnyxpb1nlz" w:id="3"/>
      <w:bookmarkEnd w:id="3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2. High-Intent Vertical &amp; Category Specialists: Kroger, Target &amp; Instacart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Kroger Precision Marketing (84.51°):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Unrivaled in grocery and CPG targeting due to 20+ years of loyalty card data across 60M+ households, setting the industry benchmark for basket-level incrementality testing and programmatic DSP partnerships 8, 11, 15, 16.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Target Roundel: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Exceptionally well-positioned for lifestyle, apparel, and beauty categories by pairing brand-safe media environments with Target Circle loyalty signals and self-serve programmatic execution via The Trade Desk 7, 9-11.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Instacart Ads &amp; Delivery Intermediaries (Uber, DoorDash):</w:t>
      </w: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 Positioned directly at the point of open-cart purchase intent across 2,200+ retail banners, providing high-margin, CPG-focused conversion activation 7, 11-14.</w:t>
      </w:r>
    </w:p>
    <w:p w:rsidR="00000000" w:rsidDel="00000000" w:rsidP="00000000" w:rsidRDefault="00000000" w:rsidRPr="00000000" w14:paraId="00000010">
      <w:pPr>
        <w:pStyle w:val="Heading4"/>
        <w:rPr>
          <w:rFonts w:ascii="Everyday Sans" w:cs="Everyday Sans" w:eastAsia="Everyday Sans" w:hAnsi="Everyday Sans"/>
        </w:rPr>
      </w:pPr>
      <w:bookmarkStart w:colFirst="0" w:colLast="0" w:name="_nhkacsbwrxyj" w:id="4"/>
      <w:bookmarkEnd w:id="4"/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3. Full-Stack Tech Infrastructure Providers: Osmos, Criteo &amp; Topsort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Everyday Sans" w:cs="Everyday Sans" w:eastAsia="Everyday Sans" w:hAnsi="Everyday Sans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Mid-tier retailers and regional grocers that lack multi-billion-dollar internal ad-tech teams rely on turnkey, white-label operating systems (e.g., Osmos, Criteo, Topsort) to deploy IAB-compliant self-serve ad servers, yield management, and API hubs 7, 17-19.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Everyday Sans" w:cs="Everyday Sans" w:eastAsia="Everyday Sans" w:hAnsi="Everyday Sans"/>
          <w:i w:val="1"/>
          <w:iCs w:val="1"/>
        </w:rPr>
      </w:pPr>
      <w:r w:rsidDel="00000000" w:rsidR="00000000" w:rsidRPr="00000000">
        <w:rPr>
          <w:rFonts w:ascii="Everyday Sans" w:cs="Everyday Sans" w:eastAsia="Everyday Sans" w:hAnsi="Everyday Sans"/>
          <w:rtl w:val="0"/>
        </w:rPr>
        <w:t xml:space="preserve">💡 </w:t>
      </w:r>
      <w:r w:rsidDel="00000000" w:rsidR="00000000" w:rsidRPr="00000000">
        <w:rPr>
          <w:rFonts w:ascii="Everyday Sans" w:cs="Everyday Sans" w:eastAsia="Everyday Sans" w:hAnsi="Everyday Sans"/>
          <w:i w:val="1"/>
          <w:iCs w:val="1"/>
          <w:rtl w:val="0"/>
        </w:rPr>
        <w:t xml:space="preserve">Would you like me to map out a strategic timeline showing how agentic AI and CTV integrations are projected to roll out across these top platforms over the next 12 to 24 months?</w:t>
      </w:r>
    </w:p>
    <w:p w:rsidR="00000000" w:rsidDel="00000000" w:rsidP="00000000" w:rsidRDefault="00000000" w:rsidRPr="00000000" w14:paraId="00000014">
      <w:pPr>
        <w:rPr>
          <w:rFonts w:ascii="Everyday Sans" w:cs="Everyday Sans" w:eastAsia="Everyday Sans" w:hAnsi="Everyday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