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successful self-serve user experience (UX) in commerce media transforms complex ad operations into a streamlined, end-to-end </w:t>
      </w:r>
      <w:r w:rsidDel="00000000" w:rsidR="00000000" w:rsidRPr="00000000">
        <w:rPr>
          <w:b w:val="1"/>
          <w:bCs w:val="1"/>
          <w:rtl w:val="0"/>
        </w:rPr>
        <w:t xml:space="preserve">operating system</w:t>
      </w:r>
      <w:r w:rsidDel="00000000" w:rsidR="00000000" w:rsidRPr="00000000">
        <w:rPr>
          <w:rtl w:val="0"/>
        </w:rPr>
        <w:t xml:space="preserve">. Rather than acting as a disjointed collection of ad tools, leading self-serve platforms are built around key architectural and operational principles: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ifi31z442yi" w:id="0"/>
      <w:bookmarkEnd w:id="0"/>
      <w:r w:rsidDel="00000000" w:rsidR="00000000" w:rsidRPr="00000000">
        <w:rPr>
          <w:rtl w:val="0"/>
        </w:rPr>
        <w:t xml:space="preserve">1. Entity-Based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Rather than forcing media buyers to rebuild campaign parameters from scratch every time, an elite platform UX is </w:t>
      </w:r>
      <w:r w:rsidDel="00000000" w:rsidR="00000000" w:rsidRPr="00000000">
        <w:rPr>
          <w:b w:val="1"/>
          <w:bCs w:val="1"/>
          <w:rtl w:val="0"/>
        </w:rPr>
        <w:t xml:space="preserve">entity-based</w:t>
      </w:r>
      <w:r w:rsidDel="00000000" w:rsidR="00000000" w:rsidRPr="00000000">
        <w:rPr>
          <w:rtl w:val="0"/>
        </w:rPr>
        <w:t xml:space="preserve"> 1. Core objects—such as advertiser profiles, product sets, audience segments, creative kits, objectives, and measurement plans—persist as reusable, persistent entities across multiple campaigns 1.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r3rrm2kwzehz" w:id="1"/>
      <w:bookmarkEnd w:id="1"/>
      <w:r w:rsidDel="00000000" w:rsidR="00000000" w:rsidRPr="00000000">
        <w:rPr>
          <w:rtl w:val="0"/>
        </w:rPr>
        <w:t xml:space="preserve">2. "Choice-Light, Control-Light" Design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platform should accommodate both novice sellers and expert programmatic traders 1, 2: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Simple Mode / Strong Defaults:</w:t>
      </w:r>
      <w:r w:rsidDel="00000000" w:rsidR="00000000" w:rsidRPr="00000000">
        <w:rPr>
          <w:rtl w:val="0"/>
        </w:rPr>
        <w:t xml:space="preserve"> Provides intelligent defaults (such as recommended automatic targeting and bid paths) to allow fast setup with minimal friction 1, 2.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Advanced Controls:</w:t>
      </w:r>
      <w:r w:rsidDel="00000000" w:rsidR="00000000" w:rsidRPr="00000000">
        <w:rPr>
          <w:rtl w:val="0"/>
        </w:rPr>
        <w:t xml:space="preserve"> Preserves full override capabilities without hiding core auction mechanics, allowing experienced buyers to customize keyword match types, bid multipliers, and audience exclusions 1, 2.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hd8frqmwgl84" w:id="2"/>
      <w:bookmarkEnd w:id="2"/>
      <w:r w:rsidDel="00000000" w:rsidR="00000000" w:rsidRPr="00000000">
        <w:rPr>
          <w:rtl w:val="0"/>
        </w:rPr>
        <w:t xml:space="preserve">3. "Preflight-Heavy" Validation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prevent wasted spend and post-launch rejection, the UX runs validation checks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campaigns go live 1. A preflight-heavy interface automatically verifies policy compliance, creative eligibility, inventory availability previews, and tracking readiness before money begins moving 1.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ml64vosq1jmb" w:id="3"/>
      <w:bookmarkEnd w:id="3"/>
      <w:r w:rsidDel="00000000" w:rsidR="00000000" w:rsidRPr="00000000">
        <w:rPr>
          <w:rtl w:val="0"/>
        </w:rPr>
        <w:t xml:space="preserve">4. A Guided, Stepwise Workflow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Official documentation across major ad platforms converges on a unified, logical 6-step sequence 3, 4: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Context &amp; Setup:</w:t>
      </w:r>
      <w:r w:rsidDel="00000000" w:rsidR="00000000" w:rsidRPr="00000000">
        <w:rPr>
          <w:rtl w:val="0"/>
        </w:rPr>
        <w:t xml:space="preserve"> Establish account context and link product libraries 3, 5.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Select primary goals and target KPIs 3, 4.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Targeting &amp; Scope:</w:t>
      </w:r>
      <w:r w:rsidDel="00000000" w:rsidR="00000000" w:rsidRPr="00000000">
        <w:rPr>
          <w:rtl w:val="0"/>
        </w:rPr>
        <w:t xml:space="preserve"> Define product catalogs, search keywords, or first-party audience segments 3, 4.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Creative Assembly:</w:t>
      </w:r>
      <w:r w:rsidDel="00000000" w:rsidR="00000000" w:rsidRPr="00000000">
        <w:rPr>
          <w:rtl w:val="0"/>
        </w:rPr>
        <w:t xml:space="preserve"> Upload assets or use AI-assisted variant generation and templates 4, 5.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Bidding &amp; Budgeting:</w:t>
      </w:r>
      <w:r w:rsidDel="00000000" w:rsidR="00000000" w:rsidRPr="00000000">
        <w:rPr>
          <w:rtl w:val="0"/>
        </w:rPr>
        <w:t xml:space="preserve"> Select pricing models, set daily/total budgets, and configure flight dates 4, 5.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Validation &amp; Launch:</w:t>
      </w:r>
      <w:r w:rsidDel="00000000" w:rsidR="00000000" w:rsidRPr="00000000">
        <w:rPr>
          <w:rtl w:val="0"/>
        </w:rPr>
        <w:t xml:space="preserve"> Review preflight diagnostics, launch, and monitor real-time pacing 1, 4.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o5fp9fa3cofb" w:id="4"/>
      <w:bookmarkEnd w:id="4"/>
      <w:r w:rsidDel="00000000" w:rsidR="00000000" w:rsidRPr="00000000">
        <w:rPr>
          <w:rtl w:val="0"/>
        </w:rPr>
        <w:t xml:space="preserve">5. Interoperability &amp; API Parity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UI-to-API Parity:</w:t>
      </w:r>
      <w:r w:rsidDel="00000000" w:rsidR="00000000" w:rsidRPr="00000000">
        <w:rPr>
          <w:rtl w:val="0"/>
        </w:rPr>
        <w:t xml:space="preserve"> Every capability available in the self-serve web UI must have strict parity in its API, allowing advertisers to manage campaigns natively or via third-party orchestration tools like Pacvue or Skai 6-8.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Self-Serve &amp; Managed Interoperability:</w:t>
      </w:r>
      <w:r w:rsidDel="00000000" w:rsidR="00000000" w:rsidRPr="00000000">
        <w:rPr>
          <w:rtl w:val="0"/>
        </w:rPr>
        <w:t xml:space="preserve"> The platform allows campaigns to start in a self-serve console and seamlessly escalate into expert managed support without requiring the campaign to be rebuilt from scratch 9.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dcnfnvcoqw7n" w:id="5"/>
      <w:bookmarkEnd w:id="5"/>
      <w:r w:rsidDel="00000000" w:rsidR="00000000" w:rsidRPr="00000000">
        <w:rPr>
          <w:rtl w:val="0"/>
        </w:rPr>
        <w:t xml:space="preserve">6. Layered Reporting &amp; Pricing Transparency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Layered Telemetry:</w:t>
      </w:r>
      <w:r w:rsidDel="00000000" w:rsidR="00000000" w:rsidRPr="00000000">
        <w:rPr>
          <w:rtl w:val="0"/>
        </w:rPr>
        <w:t xml:space="preserve"> Dashboards explicitly separate fast, real-time operational telemetry (clicks, impressions, pacing) from slower, causal measurement readouts (sales lift, holdout incrementality) 5.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Upfront Pricing Visibility:</w:t>
      </w:r>
      <w:r w:rsidDel="00000000" w:rsidR="00000000" w:rsidRPr="00000000">
        <w:rPr>
          <w:rtl w:val="0"/>
        </w:rPr>
        <w:t xml:space="preserve"> Platform fees, auction mechanics (first- vs. second-price), and rate structures are clearly exposed before campaign commitment 5, 8, 10.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bihp08hpvpt" w:id="6"/>
      <w:bookmarkEnd w:id="6"/>
      <w:r w:rsidDel="00000000" w:rsidR="00000000" w:rsidRPr="00000000">
        <w:rPr>
          <w:rtl w:val="0"/>
        </w:rPr>
        <w:t xml:space="preserve">7. Integrated AI &amp; Creative Automation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Built-in AI features automate production bottlenecks—such as generating dynamic ad variants, resizing banners to fit network specs, and adjusting bids dynamically when product stock levels drop 7, 11.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Would you like me to draft a product checklist or feature specification based on these UX criteria for your platform's product management team?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Everyday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veryday Sans" w:cs="Everyday Sans" w:eastAsia="Everyday Sans" w:hAnsi="Everyday Sans"/>
        <w:color w:val="001e60"/>
        <w:lang w:val="en"/>
      </w:rPr>
    </w:rPrDefault>
    <w:pPrDefault>
      <w:pPr>
        <w:spacing w:after="120" w:before="8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0505d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001e6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434343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verydaySans-regular.ttf"/><Relationship Id="rId2" Type="http://schemas.openxmlformats.org/officeDocument/2006/relationships/font" Target="fonts/EverydaySans-bold.ttf"/><Relationship Id="rId3" Type="http://schemas.openxmlformats.org/officeDocument/2006/relationships/font" Target="fonts/EverydaySans-italic.ttf"/><Relationship Id="rId4" Type="http://schemas.openxmlformats.org/officeDocument/2006/relationships/font" Target="fonts/Everyday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