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Self-service capabilities across major Retail Media Networks (RMNs) vary significantly in platform maturity, campaign format availability, entry thresholds, and ecosystem interoperability.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While </w:t>
      </w:r>
      <w:r w:rsidDel="00000000" w:rsidR="00000000" w:rsidRPr="00000000">
        <w:rPr>
          <w:b w:val="1"/>
          <w:bCs w:val="1"/>
          <w:rtl w:val="0"/>
        </w:rPr>
        <w:t xml:space="preserve">onsite sponsored search</w:t>
      </w:r>
      <w:r w:rsidDel="00000000" w:rsidR="00000000" w:rsidRPr="00000000">
        <w:rPr>
          <w:rtl w:val="0"/>
        </w:rPr>
        <w:t xml:space="preserve"> is now universally self-serve across all major networks 1-3, platforms diverge sharply when comparing </w:t>
      </w:r>
      <w:r w:rsidDel="00000000" w:rsidR="00000000" w:rsidRPr="00000000">
        <w:rPr>
          <w:b w:val="1"/>
          <w:bCs w:val="1"/>
          <w:rtl w:val="0"/>
        </w:rPr>
        <w:t xml:space="preserve">onsite display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offsite programmatic (DSP)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API tooling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advanced analytics</w:t>
      </w:r>
      <w:r w:rsidDel="00000000" w:rsidR="00000000" w:rsidRPr="00000000">
        <w:rPr>
          <w:rtl w:val="0"/>
        </w:rPr>
        <w:t xml:space="preserve"> 2, 4, 5.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e7wamobs8ee" w:id="0"/>
      <w:bookmarkEnd w:id="0"/>
      <w:r w:rsidDel="00000000" w:rsidR="00000000" w:rsidRPr="00000000">
        <w:rPr>
          <w:rtl w:val="0"/>
        </w:rPr>
        <w:t xml:space="preserve">Major Platform Comparison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3t433m7yn6h1" w:id="1"/>
      <w:bookmarkEnd w:id="1"/>
      <w:r w:rsidDel="00000000" w:rsidR="00000000" w:rsidRPr="00000000">
        <w:rPr>
          <w:rtl w:val="0"/>
        </w:rPr>
        <w:t xml:space="preserve">1. Amazon Ads (The Scale &amp; Tooling Benchmark)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Self-Service Scope:</w:t>
      </w:r>
      <w:r w:rsidDel="00000000" w:rsidR="00000000" w:rsidRPr="00000000">
        <w:rPr>
          <w:rtl w:val="0"/>
        </w:rPr>
        <w:t xml:space="preserve"> Full self-service coverage across Sponsored Products, Sponsored Brands, Sponsored Display, Amazon DSP, and multi-page Brand Stores 5-7.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Entry Barriers &amp; Pricing:</w:t>
      </w:r>
      <w:r w:rsidDel="00000000" w:rsidR="00000000" w:rsidRPr="00000000">
        <w:rPr>
          <w:rtl w:val="0"/>
        </w:rPr>
        <w:t xml:space="preserve"> Zero monthly spend minimums with usage-based CPC, CPM, and vCPM pricing 5, 8.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Capabilities &amp; Analytics:</w:t>
      </w:r>
      <w:r w:rsidDel="00000000" w:rsidR="00000000" w:rsidRPr="00000000">
        <w:rPr>
          <w:rtl w:val="0"/>
        </w:rPr>
        <w:t xml:space="preserve"> Offers the most sophisticated self-serve analytics stack in the market, including </w:t>
      </w:r>
      <w:r w:rsidDel="00000000" w:rsidR="00000000" w:rsidRPr="00000000">
        <w:rPr>
          <w:b w:val="1"/>
          <w:bCs w:val="1"/>
          <w:rtl w:val="0"/>
        </w:rPr>
        <w:t xml:space="preserve">Amazon Marketing Cloud (AMC)</w:t>
      </w:r>
      <w:r w:rsidDel="00000000" w:rsidR="00000000" w:rsidRPr="00000000">
        <w:rPr>
          <w:rtl w:val="0"/>
        </w:rPr>
        <w:t xml:space="preserve"> for custom SQL clean-room queries, AI Creative Studio for automated asset generation, and automated bidding algorithms 5, 7, 9.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Trade-offs:</w:t>
      </w:r>
      <w:r w:rsidDel="00000000" w:rsidR="00000000" w:rsidRPr="00000000">
        <w:rPr>
          <w:rtl w:val="0"/>
        </w:rPr>
        <w:t xml:space="preserve"> Highly competitive auction dynamics lead to high cost-per-click (CPC) inflation, and the sheer complexity of the portal creates a steep learning curve 5, 10, 11.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stdl25dleogn" w:id="2"/>
      <w:bookmarkEnd w:id="2"/>
      <w:r w:rsidDel="00000000" w:rsidR="00000000" w:rsidRPr="00000000">
        <w:rPr>
          <w:rtl w:val="0"/>
        </w:rPr>
        <w:t xml:space="preserve">2. Walmart Connect (The Omnichannel Hybrid)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Self-Service Scope:</w:t>
      </w:r>
      <w:r w:rsidDel="00000000" w:rsidR="00000000" w:rsidRPr="00000000">
        <w:rPr>
          <w:rtl w:val="0"/>
        </w:rPr>
        <w:t xml:space="preserve"> Strong self-service for onsite search and display via the Walmart Connect portal, alongside direct API integrations for third-party tools 5, 12, 13.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Entry Barriers &amp; Pricing:</w:t>
      </w:r>
      <w:r w:rsidDel="00000000" w:rsidR="00000000" w:rsidRPr="00000000">
        <w:rPr>
          <w:rtl w:val="0"/>
        </w:rPr>
        <w:t xml:space="preserve"> Offers accessible self-serve tiers alongside suggested monthly thresholds and managed-service options for high-tier brand stores and complex activations 5, 14, 15.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Capabilities &amp; Analytics:</w:t>
      </w:r>
      <w:r w:rsidDel="00000000" w:rsidR="00000000" w:rsidRPr="00000000">
        <w:rPr>
          <w:rtl w:val="0"/>
        </w:rPr>
        <w:t xml:space="preserve"> Features </w:t>
      </w:r>
      <w:r w:rsidDel="00000000" w:rsidR="00000000" w:rsidRPr="00000000">
        <w:rPr>
          <w:b w:val="1"/>
          <w:bCs w:val="1"/>
          <w:rtl w:val="0"/>
        </w:rPr>
        <w:t xml:space="preserve">Automated Creative Generation (ACG)</w:t>
      </w:r>
      <w:r w:rsidDel="00000000" w:rsidR="00000000" w:rsidRPr="00000000">
        <w:rPr>
          <w:rtl w:val="0"/>
        </w:rPr>
        <w:t xml:space="preserve">, which reduces creative creation time by 80% 5. Self-service reporting connects online ad exposures directly to in-store register transactions via Walmart Luminate / Scintilla insights 5, 12.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Trade-offs:</w:t>
      </w:r>
      <w:r w:rsidDel="00000000" w:rsidR="00000000" w:rsidRPr="00000000">
        <w:rPr>
          <w:rtl w:val="0"/>
        </w:rPr>
        <w:t xml:space="preserve"> Gated features and enterprise managed-service requirements persist for certain premium offsite and in-store activations 5, 14.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lpsenrp03w4k" w:id="3"/>
      <w:bookmarkEnd w:id="3"/>
      <w:r w:rsidDel="00000000" w:rsidR="00000000" w:rsidRPr="00000000">
        <w:rPr>
          <w:rtl w:val="0"/>
        </w:rPr>
        <w:t xml:space="preserve">3. Instacart Ads (The High-Intent Grocery Leader)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Self-Service Scope:</w:t>
      </w:r>
      <w:r w:rsidDel="00000000" w:rsidR="00000000" w:rsidRPr="00000000">
        <w:rPr>
          <w:rtl w:val="0"/>
        </w:rPr>
        <w:t xml:space="preserve"> Native self-service for Sponsored Products and onsite display via </w:t>
      </w:r>
      <w:r w:rsidDel="00000000" w:rsidR="00000000" w:rsidRPr="00000000">
        <w:rPr>
          <w:b w:val="1"/>
          <w:bCs w:val="1"/>
          <w:rtl w:val="0"/>
        </w:rPr>
        <w:t xml:space="preserve">Instacart Ads Manager</w:t>
      </w:r>
      <w:r w:rsidDel="00000000" w:rsidR="00000000" w:rsidRPr="00000000">
        <w:rPr>
          <w:rtl w:val="0"/>
        </w:rPr>
        <w:t xml:space="preserve">, alongside expanding off-platform integrations 13, 16.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Entry Barriers &amp; Pricing:</w:t>
      </w:r>
      <w:r w:rsidDel="00000000" w:rsidR="00000000" w:rsidRPr="00000000">
        <w:rPr>
          <w:rtl w:val="0"/>
        </w:rPr>
        <w:t xml:space="preserve"> Low minimum spend thresholds and fast per-advertiser setup, making it the most accessible self-serve entry point for emerging CPG and grocery brands 11, 13, 17.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Capabilities &amp; Analytics:</w:t>
      </w:r>
      <w:r w:rsidDel="00000000" w:rsidR="00000000" w:rsidRPr="00000000">
        <w:rPr>
          <w:rtl w:val="0"/>
        </w:rPr>
        <w:t xml:space="preserve"> Transparent public documentation detailing account mechanics, pricing, and closed-loop reporting 18. Offers real-time analytics across 2,200+ retail banners via Carrot Insights 16, 19, 20.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Trade-offs:</w:t>
      </w:r>
      <w:r w:rsidDel="00000000" w:rsidR="00000000" w:rsidRPr="00000000">
        <w:rPr>
          <w:rtl w:val="0"/>
        </w:rPr>
        <w:t xml:space="preserve"> Restricted primarily to fast-moving consumer goods (FMCG) and grocery categories, with multi-retailer order fulfillment occasionally creating attribution edge cases 11.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tknlibliq9gd" w:id="4"/>
      <w:bookmarkEnd w:id="4"/>
      <w:r w:rsidDel="00000000" w:rsidR="00000000" w:rsidRPr="00000000">
        <w:rPr>
          <w:rtl w:val="0"/>
        </w:rPr>
        <w:t xml:space="preserve">4. Kroger Precision Marketing / 84.51° (The Performance &amp; Control Specialist)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Self-Service Scope:</w:t>
      </w:r>
      <w:r w:rsidDel="00000000" w:rsidR="00000000" w:rsidRPr="00000000">
        <w:rPr>
          <w:rtl w:val="0"/>
        </w:rPr>
        <w:t xml:space="preserve"> Comprehensive self-service for onsite search and display via the internal </w:t>
      </w:r>
      <w:r w:rsidDel="00000000" w:rsidR="00000000" w:rsidRPr="00000000">
        <w:rPr>
          <w:b w:val="1"/>
          <w:bCs w:val="1"/>
          <w:rtl w:val="0"/>
        </w:rPr>
        <w:t xml:space="preserve">Kroger Ad Platform (KAP)</w:t>
      </w:r>
      <w:r w:rsidDel="00000000" w:rsidR="00000000" w:rsidRPr="00000000">
        <w:rPr>
          <w:rtl w:val="0"/>
        </w:rPr>
        <w:t xml:space="preserve"> 18, 21. Offsite programmatic is managed through self-serve integrations with The Trade Desk, Yahoo DSP, Google DV360, and Meta 21, 22.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Entry Barriers &amp; Pricing:</w:t>
      </w:r>
      <w:r w:rsidDel="00000000" w:rsidR="00000000" w:rsidRPr="00000000">
        <w:rPr>
          <w:rtl w:val="0"/>
        </w:rPr>
        <w:t xml:space="preserve"> Operates transparent second-price auctions with explicit bid-modifier controls and no mandatory managed-service layer for search 2, 18, 21.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Capabilities &amp; Analytics:</w:t>
      </w:r>
      <w:r w:rsidDel="00000000" w:rsidR="00000000" w:rsidRPr="00000000">
        <w:rPr>
          <w:rtl w:val="0"/>
        </w:rPr>
        <w:t xml:space="preserve"> High performance control allowing buyers to target using 20+ years of loyalty card data (60M+ households), alongside real-time sales lift and test-vs-control incrementality dashboards 18, 21, 23.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Trade-offs:</w:t>
      </w:r>
      <w:r w:rsidDel="00000000" w:rsidR="00000000" w:rsidRPr="00000000">
        <w:rPr>
          <w:rtl w:val="0"/>
        </w:rPr>
        <w:t xml:space="preserve"> Geographic reach is tied to Kroger’s regional store footprint 11, 13.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ikr4i88drhtz" w:id="5"/>
      <w:bookmarkEnd w:id="5"/>
      <w:r w:rsidDel="00000000" w:rsidR="00000000" w:rsidRPr="00000000">
        <w:rPr>
          <w:rtl w:val="0"/>
        </w:rPr>
        <w:t xml:space="preserve">5. Target Roundel (The Brand-Safe Omnichannel Player)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Self-Service Scope:</w:t>
      </w:r>
      <w:r w:rsidDel="00000000" w:rsidR="00000000" w:rsidRPr="00000000">
        <w:rPr>
          <w:rtl w:val="0"/>
        </w:rPr>
        <w:t xml:space="preserve"> Self-service for onsite search (partnered with Criteo) and offsite programmatic (via The Trade Desk) 13, 24. Managed service is retained for custom social and native editorial placements 13.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Capabilities &amp; Analytics:</w:t>
      </w:r>
      <w:r w:rsidDel="00000000" w:rsidR="00000000" w:rsidRPr="00000000">
        <w:rPr>
          <w:rtl w:val="0"/>
        </w:rPr>
        <w:t xml:space="preserve"> High focus on brand safety and Target Circle loyalty card signals, delivering 3x–6x+ average ROAS 5, 8, 13.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Trade-offs:</w:t>
      </w:r>
      <w:r w:rsidDel="00000000" w:rsidR="00000000" w:rsidRPr="00000000">
        <w:rPr>
          <w:rtl w:val="0"/>
        </w:rPr>
        <w:t xml:space="preserve"> Less unified native self-serve UI compared to Amazon or Instacart, requiring buyers to execute across partner DSPs 5, 13, 24.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7r92f187jug" w:id="6"/>
      <w:bookmarkEnd w:id="6"/>
      <w:r w:rsidDel="00000000" w:rsidR="00000000" w:rsidRPr="00000000">
        <w:rPr>
          <w:rtl w:val="0"/>
        </w:rPr>
        <w:t xml:space="preserve">Key Self-Serve Feature Comparison Matrix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Dimension,Amazon Ads,Walmart Connect,Instacart Ads,Kroger (KAP),Target Roundel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Search Self-Service,"Native / Full 5, 7","Native / Full 5, 12","Native / Full 13, 16",Native (KAP) 21,Criteo Integration 24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Display Self-Service,"Native / Full 5, 7","Native / Full 5, 13","Native / Full 13, 16",Native (KAP) 21,"Managed / TTD 13, 24"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Programmatic / DSP,"Amazon DSP 5, 7","Walmart DSP 5, 13",Ecosystem / TTD 16,"TTD / DV360 / Meta 21, 22","The Trade Desk 13, 24"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AI Creative Tools,AI Creative Studio 5,ACG (80% time cut) 5,DCO / Generative 25,Content Generation 26,Partner Tools 13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Third-Party API Access,"Extensive (Pacvue, Skai) 27","Direct API 5, 12","Direct API 16, 20","Direct API 18, 21","Partner APIs 13, 24"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Minimum Spend,"\$0 / Usage-Based 5, 8",Tiered / Suggested 5,"Low / Accessible 13, 17",Tiered 18,Tiered / JBP 13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36z7nyyohc3n" w:id="7"/>
      <w:bookmarkEnd w:id="7"/>
      <w:r w:rsidDel="00000000" w:rsidR="00000000" w:rsidRPr="00000000">
        <w:rPr>
          <w:rtl w:val="0"/>
        </w:rPr>
        <w:t xml:space="preserve">Mid-Tier &amp; Regional RMNs: The Turnkey Stack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Outside of the major top-tier networks, mid-tier and regional grocers (e.g., Albertsons, CVS, Hy-Vee, Meijer) generally do not build proprietary self-serve ad servers 5, 28. Instead, they rely on </w:t>
      </w:r>
      <w:r w:rsidDel="00000000" w:rsidR="00000000" w:rsidRPr="00000000">
        <w:rPr>
          <w:b w:val="1"/>
          <w:bCs w:val="1"/>
          <w:rtl w:val="0"/>
        </w:rPr>
        <w:t xml:space="preserve">white-label sell-side platforms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b w:val="1"/>
          <w:bCs w:val="1"/>
          <w:rtl w:val="0"/>
        </w:rPr>
        <w:t xml:space="preserve">Criteo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CitrusAd (Epsilon/Publicis)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Osmos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Topsort</w:t>
      </w:r>
      <w:r w:rsidDel="00000000" w:rsidR="00000000" w:rsidRPr="00000000">
        <w:rPr>
          <w:rtl w:val="0"/>
        </w:rPr>
        <w:t xml:space="preserve"> to provide advertisers with standardized self-serve consoles for search and display 5, 28-30.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yn649nbyiele" w:id="8"/>
      <w:bookmarkEnd w:id="8"/>
      <w:r w:rsidDel="00000000" w:rsidR="00000000" w:rsidRPr="00000000">
        <w:rPr>
          <w:rtl w:val="0"/>
        </w:rPr>
        <w:t xml:space="preserve">Key Takeaway for Advertisers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industry is moving toward an </w:t>
      </w:r>
      <w:r w:rsidDel="00000000" w:rsidR="00000000" w:rsidRPr="00000000">
        <w:rPr>
          <w:b w:val="1"/>
          <w:bCs w:val="1"/>
          <w:rtl w:val="0"/>
        </w:rPr>
        <w:t xml:space="preserve">interoperable dual-path model</w:t>
      </w:r>
      <w:r w:rsidDel="00000000" w:rsidR="00000000" w:rsidRPr="00000000">
        <w:rPr>
          <w:rtl w:val="0"/>
        </w:rPr>
        <w:t xml:space="preserve"> 31. The most effective platforms do not force a rigid choice between self-serve or managed service; instead, they allow campaigns to be set up in a self-serve console, optimized via automated AI or third-party APIs (like Skai or Pacvue), and escalated into managed or agency support without rebuilding campaigns from scratch 12, 27, 31.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Would you like to explore a specific platform's API capabilities in detail, or discuss how third-party management tools normalize workflows across these consoles?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Everyday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veryday Sans" w:cs="Everyday Sans" w:eastAsia="Everyday Sans" w:hAnsi="Everyday Sans"/>
        <w:color w:val="001e60"/>
        <w:lang w:val="en"/>
      </w:rPr>
    </w:rPrDefault>
    <w:pPrDefault>
      <w:pPr>
        <w:spacing w:after="120" w:before="8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0505d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001e6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434343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verydaySans-regular.ttf"/><Relationship Id="rId2" Type="http://schemas.openxmlformats.org/officeDocument/2006/relationships/font" Target="fonts/EverydaySans-bold.ttf"/><Relationship Id="rId3" Type="http://schemas.openxmlformats.org/officeDocument/2006/relationships/font" Target="fonts/EverydaySans-italic.ttf"/><Relationship Id="rId4" Type="http://schemas.openxmlformats.org/officeDocument/2006/relationships/font" Target="fonts/Everyday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