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Media Advertiser Experience Brief</w:t>
      </w:r>
    </w:p>
    <w:p>
      <w:r>
        <w:rPr>
          <w:b w:val="0"/>
        </w:rPr>
        <w:t>Competitive expectations and implications for Walmart’s advertiser experience strategy</w:t>
      </w:r>
    </w:p>
    <w:p>
      <w:pPr>
        <w:pStyle w:val="Heading1"/>
      </w:pPr>
      <w:r>
        <w:t>Executive Takeaway</w:t>
      </w:r>
    </w:p>
    <w:p>
      <w:r>
        <w:rPr>
          <w:b w:val="0"/>
        </w:rPr>
        <w:t>The supplied report argues that retail media competition is increasingly shaped by how easily advertisers execute campaigns, understand performance &amp; justify continued investment. For Walmart, the strategic opportunity is to connect workflow improvements, shared platform foundations &amp; trusted guidance into one coherent advertiser journey.</w:t>
      </w:r>
    </w:p>
    <w:p>
      <w:r>
        <w:rPr>
          <w:b/>
        </w:rPr>
        <w:t>Recommendation: use these themes to sharpen the existing AE roadmap, define measurable experience outcomes &amp; guide competitive research. Validate the underlying evidence before using numerical comparisons or platform claims in leadership materials.</w:t>
      </w:r>
    </w:p>
    <w:p>
      <w:pPr>
        <w:pStyle w:val="Heading1"/>
      </w:pPr>
      <w:r>
        <w:t>What Advertisers Need</w:t>
      </w:r>
    </w:p>
    <w:p>
      <w:pPr>
        <w:pStyle w:val="Heading2"/>
      </w:pPr>
      <w:r>
        <w:t>Efficient Self Service</w:t>
      </w:r>
    </w:p>
    <w:p>
      <w:r>
        <w:rPr>
          <w:b w:val="0"/>
        </w:rPr>
        <w:t>Advertisers need intuitive setup, fewer repetitive tasks &amp; clear recovery from errors. Smaller sellers need guided entry paths; enterprise brands need control, collaboration &amp; workflows that accommodate greater complexity.</w:t>
      </w:r>
    </w:p>
    <w:p>
      <w:pPr>
        <w:pStyle w:val="Heading2"/>
      </w:pPr>
      <w:r>
        <w:t>Connected Campaign Management</w:t>
      </w:r>
    </w:p>
    <w:p>
      <w:r>
        <w:rPr>
          <w:b w:val="0"/>
        </w:rPr>
        <w:t>Fragmented portals, terminology, reporting &amp; specifications create operational overhead. Shared navigation and reusable patterns should preserve context across products while accommodating channel-specific needs.</w:t>
      </w:r>
    </w:p>
    <w:p>
      <w:pPr>
        <w:pStyle w:val="Heading2"/>
      </w:pPr>
      <w:r>
        <w:t>Understandable Performance</w:t>
      </w:r>
    </w:p>
    <w:p>
      <w:r>
        <w:rPr>
          <w:b w:val="0"/>
        </w:rPr>
        <w:t>Attributed sales alone do not answer whether advertising generated additional demand. Advertisers need clear metric definitions, attribution context, appropriate comparisons &amp; access to credible experimentation.</w:t>
      </w:r>
    </w:p>
    <w:p>
      <w:pPr>
        <w:pStyle w:val="Heading2"/>
      </w:pPr>
      <w:r>
        <w:t>Automation With Control</w:t>
      </w:r>
    </w:p>
    <w:p>
      <w:r>
        <w:rPr>
          <w:b w:val="0"/>
        </w:rPr>
        <w:t>AI can support troubleshooting, planning &amp; campaign management. The advertiser experience must make proposed changes understandable, expose constraints &amp; provide review or override where appropriate.</w:t>
      </w:r>
    </w:p>
    <w:p>
      <w:pPr>
        <w:pStyle w:val="Heading2"/>
      </w:pPr>
      <w:r>
        <w:t>A Coherent Omnichannel Journey</w:t>
      </w:r>
    </w:p>
    <w:p>
      <w:r>
        <w:rPr>
          <w:b w:val="0"/>
        </w:rPr>
        <w:t>Onsite, Offsite, CTV &amp; in-store expansion creates more choices and dependencies. Advertisers need help selecting the right capabilities, managing them consistently &amp; understanding what each measurement approach can establish.</w:t>
      </w:r>
    </w:p>
    <w:p>
      <w:r>
        <w:rPr>
          <w:b w:val="0"/>
        </w:rPr>
        <w:t>Evidence status: this brief summarizes an uncited, supplied synthesis. Findings are directional; numerical and technical claims have not been independently verified.</w:t>
      </w:r>
    </w:p>
    <w:p>
      <w:r>
        <w:br w:type="page"/>
      </w:r>
    </w:p>
    <w:p>
      <w:pPr>
        <w:pStyle w:val="Heading1"/>
      </w:pPr>
      <w:r>
        <w:t>A Practical Competitive Evaluation Framework</w:t>
      </w:r>
    </w:p>
    <w:p>
      <w:r>
        <w:rPr>
          <w:b w:val="0"/>
        </w:rPr>
        <w:t>The report references Amazon Ads, Walmart Connect, Kroger Precision Marketing, Instacart Ads, Target Roundel &amp; Walgreens. It does not provide enough comparable evidence to substantiate a current platform ranking. Use the dimensions below to structure a verified benchmark.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176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2036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4176"/>
            <w:vAlign w:val="center"/>
            <w:shd w:fill="2036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/>
                <w:color w:val="FFFFFF"/>
                <w:sz w:val="20"/>
              </w:rPr>
              <w:t>What to Evaluate</w:t>
            </w:r>
          </w:p>
        </w:tc>
        <w:tc>
          <w:tcPr>
            <w:tcW w:type="dxa" w:w="4104"/>
            <w:vAlign w:val="center"/>
            <w:shd w:fill="2036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/>
                <w:color w:val="FFFFFF"/>
                <w:sz w:val="20"/>
              </w:rPr>
              <w:t>AE Implication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Workflow efficiency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Setup effort, bulk actions, reusable inputs, validation &amp; recovery.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Prioritize successful completion, time on task &amp; rework.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Connected experience</w:t>
            </w:r>
          </w:p>
        </w:tc>
        <w:tc>
          <w:tcPr>
            <w:tcW w:type="dxa" w:w="417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Navigation, terminology, table behavior &amp; continuity across channels.</w:t>
            </w:r>
          </w:p>
        </w:tc>
        <w:tc>
          <w:tcPr>
            <w:tcW w:type="dxa" w:w="410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Make shared foundations solve observable journey breaks.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Measurement clarity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Definitions, freshness, attribution windows, deduplication &amp; exportability.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Build interpretation into reporting, not just consolidation.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Experimentation</w:t>
            </w:r>
          </w:p>
        </w:tc>
        <w:tc>
          <w:tcPr>
            <w:tcW w:type="dxa" w:w="417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Eligibility, test design, controls, uncertainty &amp; result interpretation.</w:t>
            </w:r>
          </w:p>
        </w:tc>
        <w:tc>
          <w:tcPr>
            <w:tcW w:type="dxa" w:w="410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Separate A/B optimization from causal incrementality questions.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Advertiser control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Recommendation rationale, previews, constraints, overrides &amp; change history.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Establish consistent controls across guided and automated actions.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Access and collaboration</w:t>
            </w:r>
          </w:p>
        </w:tc>
        <w:tc>
          <w:tcPr>
            <w:tcW w:type="dxa" w:w="417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Seller onboarding, roles, permissions &amp; self-service or managed transitions.</w:t>
            </w:r>
          </w:p>
        </w:tc>
        <w:tc>
          <w:tcPr>
            <w:tcW w:type="dxa" w:w="410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Design for distinct advertiser needs and shared workflows.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Creative and channel support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Supported formats, asset reuse, specifications &amp; channel-specific setup.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Reduce avoidable adaptation work without hiding real requirements.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Commercial transparency</w:t>
            </w:r>
          </w:p>
        </w:tc>
        <w:tc>
          <w:tcPr>
            <w:tcW w:type="dxa" w:w="417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Working media, fees, billing &amp; spend reconciliation.</w:t>
            </w:r>
          </w:p>
        </w:tc>
        <w:tc>
          <w:tcPr>
            <w:tcW w:type="dxa" w:w="410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Make costs understandable with relevant commercial owners.</w:t>
            </w:r>
          </w:p>
        </w:tc>
      </w:tr>
    </w:tbl>
    <w:p>
      <w:pPr>
        <w:spacing w:after="0"/>
      </w:pPr>
    </w:p>
    <w:p>
      <w:pPr>
        <w:pStyle w:val="Heading1"/>
      </w:pPr>
      <w:r>
        <w:t>How to Interpret Performance Evidence</w:t>
      </w:r>
    </w:p>
    <w:p>
      <w:r>
        <w:rPr>
          <w:b w:val="0"/>
        </w:rPr>
        <w:t>Compare CPC, CTR &amp; ROAS only within a defined context: category, objective, format, placement, audience, time period &amp; attribution methodology. Aggregate platform averages cannot establish a durable efficiency advantage.</w:t>
      </w:r>
    </w:p>
    <w:p>
      <w:r>
        <w:rPr>
          <w:b w:val="0"/>
        </w:rPr>
        <w:t>Closed-loop attribution links eligible ad interactions to purchases; it does not by itself prove incremental sales. A causal experiment requires a defensible design, adequate sample size &amp; appropriate treatment of exposure and contamination. Report inconclusive results clearly.</w:t>
      </w:r>
    </w:p>
    <w:p>
      <w:r>
        <w:rPr>
          <w:b w:val="0"/>
        </w:rPr>
        <w:t>Omnichannel reporting must avoid double-counting transactions across online, pickup, delivery &amp; in-store categories. Additional measured sales should not be described as additional sales caused by advertising.</w:t>
      </w:r>
    </w:p>
    <w:p>
      <w:r>
        <w:br w:type="page"/>
      </w:r>
    </w:p>
    <w:p>
      <w:pPr>
        <w:pStyle w:val="Heading1"/>
      </w:pPr>
      <w:r>
        <w:t>Implications for the AE Charter and Roadmap</w:t>
      </w:r>
    </w:p>
    <w:p>
      <w:r>
        <w:rPr>
          <w:b w:val="0"/>
        </w:rPr>
        <w:t>Proposed charter emphasis: AE owns the coherence, usability &amp; continuity of the advertiser-facing journey. Vertical teams own domain capabilities and underlying methodologies; successful adoption, customer understanding &amp; advertiser outcomes require shared accountability.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328"/>
        <w:gridCol w:w="3096"/>
      </w:tblGrid>
      <w:tr>
        <w:trPr>
          <w:cantSplit/>
          <w:tblHeader/>
        </w:trPr>
        <w:tc>
          <w:tcPr>
            <w:tcW w:type="dxa" w:w="1800"/>
            <w:vAlign w:val="center"/>
            <w:shd w:fill="2036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5328"/>
            <w:vAlign w:val="center"/>
            <w:shd w:fill="2036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/>
                <w:color w:val="FFFFFF"/>
                <w:sz w:val="20"/>
              </w:rPr>
              <w:t>Existing Work to Connect</w:t>
            </w:r>
          </w:p>
        </w:tc>
        <w:tc>
          <w:tcPr>
            <w:tcW w:type="dxa" w:w="3096"/>
            <w:vAlign w:val="center"/>
            <w:shd w:fill="2036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/>
                <w:color w:val="FFFFFF"/>
                <w:sz w:val="20"/>
              </w:rPr>
              <w:t>Outcome to Track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Reduce critical friction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Instrumentation + Advertiser Intelligence; Sponsored + Display campaign modernization; bounded Papercuts fixes.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Task completion, setup time, failures &amp; rework.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Connect the platform</w:t>
            </w:r>
          </w:p>
        </w:tc>
        <w:tc>
          <w:tcPr>
            <w:tcW w:type="dxa" w:w="532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Global Information Architecture; Unified Global Navigation; Shared Apps Foundation; standardized tables + terminology.</w:t>
            </w:r>
          </w:p>
        </w:tc>
        <w:tc>
          <w:tcPr>
            <w:tcW w:type="dxa" w:w="309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Repeated steps, context loss &amp; cross-product task success.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Build confidence in results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Unified Measurement + Reporting Hub; Experimentation + A/B Testing Infrastructure; performance diagnostics.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Metric comprehension, reporting task success &amp; correctly interpreted tests.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Activate new sellers</w:t>
            </w:r>
          </w:p>
        </w:tc>
        <w:tc>
          <w:tcPr>
            <w:tcW w:type="dxa" w:w="532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One-Click Apply; Quick-Start; native Seller Center campaign creation; foundational measurement.</w:t>
            </w:r>
          </w:p>
        </w:tc>
        <w:tc>
          <w:tcPr>
            <w:tcW w:type="dxa" w:w="309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Eligible new seller activation, first-results understanding &amp; retention.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Scale trusted guidance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Recommendation Experience Framework; Campaign Automation + Guided Set-Up; Media Planning + Forecasting.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45" w:lineRule="auto"/>
            </w:pPr>
            <w:r>
              <w:rPr>
                <w:b w:val="0"/>
                <w:color w:val="000000"/>
                <w:sz w:val="20"/>
              </w:rPr>
              <w:t>Informed completion, time saved, reversals &amp; adverse outcomes.</w:t>
            </w:r>
          </w:p>
        </w:tc>
      </w:tr>
    </w:tbl>
    <w:p>
      <w:pPr>
        <w:spacing w:after="0"/>
      </w:pPr>
    </w:p>
    <w:p>
      <w:r>
        <w:rPr>
          <w:b w:val="0"/>
        </w:rPr>
        <w:t>Additional connections: Dedicated Offsite Ads Experience should support channel-specific jobs within shared foundations. Universal Notifications Center should connect status to action. Display Capability Realization should assess built work against validated customer value and launch readiness.</w:t>
      </w:r>
    </w:p>
    <w:p>
      <w:pPr>
        <w:pStyle w:val="Heading1"/>
      </w:pPr>
      <w:r>
        <w:t>Evidence to Validate Before Executive Use</w:t>
      </w:r>
    </w:p>
    <w:p>
      <w:r>
        <w:rPr>
          <w:b w:val="0"/>
        </w:rPr>
        <w:t>The source reports IAB figures of 69% for buying complexity, 60% for communication friction &amp; 10% for high operational satisfaction. Retrieve the original survey, date, wording, population &amp; sample before citing them.</w:t>
      </w:r>
    </w:p>
    <w:p>
      <w:r>
        <w:rPr>
          <w:b w:val="0"/>
        </w:rPr>
        <w:t>Also validate revenue periods, margin definitions, Walmart-versus-Amazon CPC/CTR/ROAS comparisons, current product availability &amp; named AI capabilities. Exact Polaris/A10 weights, eligibility thresholds, universal campaign splits &amp; category benchmarks require authoritative evidence.</w:t>
      </w:r>
    </w:p>
    <w:p>
      <w:r>
        <w:rPr>
          <w:b w:val="0"/>
        </w:rPr>
        <w:t>Remove the B2B account-budget formula and pipeline case studies from the core CPG retail media argument unless their relevance is demonstrated. The source’s benchmark survey role percentages total 105%; clarify overlap or correct the figures before use.</w:t>
      </w:r>
    </w:p>
    <w:p>
      <w:pPr>
        <w:pStyle w:val="Heading1"/>
      </w:pPr>
      <w:r>
        <w:t>Recommended Next Step</w:t>
      </w:r>
    </w:p>
    <w:p>
      <w:r>
        <w:rPr>
          <w:b w:val="0"/>
        </w:rPr>
        <w:t>For each priority, define the advertiser problem, Walmart-specific evidence, accountable owner, dependencies &amp; outcome measure. Use competitive research to test requirements; use VOC, Pendo, support and customer research to determine local priority. This brief proposes connections, not new delivery commitments.</w:t>
      </w:r>
    </w:p>
    <w:p>
      <w:r>
        <w:rPr>
          <w:b w:val="0"/>
        </w:rPr>
        <w:t>Source: Pasted text(3).txt, supplied October 1, 2026. Strategic recommendations are editorial synthesis; no original source links were supplied.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October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ADVERTISER EXPERIENCE  |  STRATEGY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Media Advertiser Experience Brief</dc:title>
  <dc:subject>Competitive expectations and AE roadmap implications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