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Self Serve Commerce Media Platform Brief</w:t>
      </w:r>
    </w:p>
    <w:p>
      <w:r>
        <w:rPr>
          <w:b w:val="0"/>
        </w:rPr>
        <w:t>UX capabilities, roadmap connections &amp; product readiness</w:t>
      </w:r>
    </w:p>
    <w:p>
      <w:pPr>
        <w:pStyle w:val="Heading1"/>
      </w:pPr>
      <w:r>
        <w:t>Executive Takeaway</w:t>
      </w:r>
    </w:p>
    <w:p>
      <w:r>
        <w:rPr>
          <w:b w:val="0"/>
        </w:rPr>
        <w:t>The supplied specification proposes a self-service platform built around reusable assets, guided campaign creation, upfront validation, advertiser control &amp; transparent reporting. Its strongest contribution is a practical set of experience requirements that can sharpen work already on the AE roadmap.</w:t>
      </w:r>
    </w:p>
    <w:p>
      <w:r>
        <w:rPr>
          <w:b/>
        </w:rPr>
        <w:t>Recommendation: adopt the problem statements and interaction principles as discovery inputs. Confirm product rules, system capabilities &amp; evidence before treating the detailed schemas, thresholds or service levels as committed requirements.</w:t>
      </w:r>
    </w:p>
    <w:p>
      <w:pPr>
        <w:pStyle w:val="Heading1"/>
      </w:pPr>
      <w:r>
        <w:t>Six Proposed Capability Areas</w:t>
      </w:r>
    </w:p>
    <w:tbl>
      <w:tblPr>
        <w:tblW w:type="auto" w:w="0"/>
        <w:jc w:val="center"/>
        <w:tblLayout w:type="fixed"/>
        <w:tblLook w:firstColumn="1" w:firstRow="1" w:lastColumn="0" w:lastRow="0" w:noHBand="0" w:noVBand="1" w:val="04A0"/>
      </w:tblPr>
      <w:tblGrid>
        <w:gridCol w:w="2016"/>
        <w:gridCol w:w="3024"/>
        <w:gridCol w:w="5184"/>
      </w:tblGrid>
      <w:tr>
        <w:trPr>
          <w:cantSplit/>
          <w:tblHeader/>
        </w:trPr>
        <w:tc>
          <w:tcPr>
            <w:tcW w:type="dxa" w:w="2016"/>
            <w:vAlign w:val="center"/>
            <w:shd w:fill="20364D"/>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5" w:lineRule="auto"/>
            </w:pPr>
            <w:r>
              <w:rPr>
                <w:b/>
                <w:color w:val="FFFFFF"/>
                <w:sz w:val="20"/>
              </w:rPr>
              <w:t>Capability</w:t>
            </w:r>
          </w:p>
        </w:tc>
        <w:tc>
          <w:tcPr>
            <w:tcW w:type="dxa" w:w="3024"/>
            <w:vAlign w:val="center"/>
            <w:shd w:fill="20364D"/>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5" w:lineRule="auto"/>
            </w:pPr>
            <w:r>
              <w:rPr>
                <w:b/>
                <w:color w:val="FFFFFF"/>
                <w:sz w:val="20"/>
              </w:rPr>
              <w:t>Advertiser Value</w:t>
            </w:r>
          </w:p>
        </w:tc>
        <w:tc>
          <w:tcPr>
            <w:tcW w:type="dxa" w:w="5184"/>
            <w:vAlign w:val="center"/>
            <w:shd w:fill="20364D"/>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5" w:lineRule="auto"/>
            </w:pPr>
            <w:r>
              <w:rPr>
                <w:b/>
                <w:color w:val="FFFFFF"/>
                <w:sz w:val="20"/>
              </w:rPr>
              <w:t>Core Experience Requirement</w:t>
            </w:r>
          </w:p>
        </w:tc>
      </w:tr>
      <w:tr>
        <w:trPr>
          <w:cantSplit/>
        </w:trPr>
        <w:tc>
          <w:tcPr>
            <w:tcW w:type="dxa" w:w="201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5" w:lineRule="auto"/>
            </w:pPr>
            <w:r>
              <w:rPr>
                <w:b w:val="0"/>
                <w:color w:val="000000"/>
                <w:sz w:val="20"/>
              </w:rPr>
              <w:t>Reusable entities</w:t>
            </w:r>
          </w:p>
        </w:tc>
        <w:tc>
          <w:tcPr>
            <w:tcW w:type="dxa" w:w="302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5" w:lineRule="auto"/>
            </w:pPr>
            <w:r>
              <w:rPr>
                <w:b w:val="0"/>
                <w:color w:val="000000"/>
                <w:sz w:val="20"/>
              </w:rPr>
              <w:t>Reduce repeat setup &amp; maintain consistent assets.</w:t>
            </w:r>
          </w:p>
        </w:tc>
        <w:tc>
          <w:tcPr>
            <w:tcW w:type="dxa" w:w="518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5" w:lineRule="auto"/>
            </w:pPr>
            <w:r>
              <w:rPr>
                <w:b w:val="0"/>
                <w:color w:val="000000"/>
                <w:sz w:val="20"/>
              </w:rPr>
              <w:t>Reuse brand profiles, creative, products &amp; audiences with clear ownership and update behavior.</w:t>
            </w:r>
          </w:p>
        </w:tc>
      </w:tr>
      <w:tr>
        <w:trPr>
          <w:cantSplit/>
        </w:trPr>
        <w:tc>
          <w:tcPr>
            <w:tcW w:type="dxa" w:w="2016"/>
            <w:vAlign w:val="center"/>
            <w:shd w:fill="F2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5" w:lineRule="auto"/>
            </w:pPr>
            <w:r>
              <w:rPr>
                <w:b w:val="0"/>
                <w:color w:val="000000"/>
                <w:sz w:val="20"/>
              </w:rPr>
              <w:t>Guided and advanced controls</w:t>
            </w:r>
          </w:p>
        </w:tc>
        <w:tc>
          <w:tcPr>
            <w:tcW w:type="dxa" w:w="3024"/>
            <w:vAlign w:val="center"/>
            <w:shd w:fill="F2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5" w:lineRule="auto"/>
            </w:pPr>
            <w:r>
              <w:rPr>
                <w:b w:val="0"/>
                <w:color w:val="000000"/>
                <w:sz w:val="20"/>
              </w:rPr>
              <w:t>Support different levels of expertise.</w:t>
            </w:r>
          </w:p>
        </w:tc>
        <w:tc>
          <w:tcPr>
            <w:tcW w:type="dxa" w:w="5184"/>
            <w:vAlign w:val="center"/>
            <w:shd w:fill="F2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5" w:lineRule="auto"/>
            </w:pPr>
            <w:r>
              <w:rPr>
                <w:b w:val="0"/>
                <w:color w:val="000000"/>
                <w:sz w:val="20"/>
              </w:rPr>
              <w:t>Offer useful defaults and accessible advanced controls without losing draft state.</w:t>
            </w:r>
          </w:p>
        </w:tc>
      </w:tr>
      <w:tr>
        <w:trPr>
          <w:cantSplit/>
        </w:trPr>
        <w:tc>
          <w:tcPr>
            <w:tcW w:type="dxa" w:w="201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5" w:lineRule="auto"/>
            </w:pPr>
            <w:r>
              <w:rPr>
                <w:b w:val="0"/>
                <w:color w:val="000000"/>
                <w:sz w:val="20"/>
              </w:rPr>
              <w:t>Preflight validation</w:t>
            </w:r>
          </w:p>
        </w:tc>
        <w:tc>
          <w:tcPr>
            <w:tcW w:type="dxa" w:w="302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5" w:lineRule="auto"/>
            </w:pPr>
            <w:r>
              <w:rPr>
                <w:b w:val="0"/>
                <w:color w:val="000000"/>
                <w:sz w:val="20"/>
              </w:rPr>
              <w:t>Catch avoidable errors before launch.</w:t>
            </w:r>
          </w:p>
        </w:tc>
        <w:tc>
          <w:tcPr>
            <w:tcW w:type="dxa" w:w="518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5" w:lineRule="auto"/>
            </w:pPr>
            <w:r>
              <w:rPr>
                <w:b w:val="0"/>
                <w:color w:val="000000"/>
                <w:sz w:val="20"/>
              </w:rPr>
              <w:t>Validate supported inputs early; distinguish blockers, warnings &amp; checks still pending.</w:t>
            </w:r>
          </w:p>
        </w:tc>
      </w:tr>
      <w:tr>
        <w:trPr>
          <w:cantSplit/>
        </w:trPr>
        <w:tc>
          <w:tcPr>
            <w:tcW w:type="dxa" w:w="2016"/>
            <w:vAlign w:val="center"/>
            <w:shd w:fill="F2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5" w:lineRule="auto"/>
            </w:pPr>
            <w:r>
              <w:rPr>
                <w:b w:val="0"/>
                <w:color w:val="000000"/>
                <w:sz w:val="20"/>
              </w:rPr>
              <w:t>Guided campaign workflow</w:t>
            </w:r>
          </w:p>
        </w:tc>
        <w:tc>
          <w:tcPr>
            <w:tcW w:type="dxa" w:w="3024"/>
            <w:vAlign w:val="center"/>
            <w:shd w:fill="F2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5" w:lineRule="auto"/>
            </w:pPr>
            <w:r>
              <w:rPr>
                <w:b w:val="0"/>
                <w:color w:val="000000"/>
                <w:sz w:val="20"/>
              </w:rPr>
              <w:t>Make setup understandable &amp; recoverable.</w:t>
            </w:r>
          </w:p>
        </w:tc>
        <w:tc>
          <w:tcPr>
            <w:tcW w:type="dxa" w:w="5184"/>
            <w:vAlign w:val="center"/>
            <w:shd w:fill="F2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5" w:lineRule="auto"/>
            </w:pPr>
            <w:r>
              <w:rPr>
                <w:b w:val="0"/>
                <w:color w:val="000000"/>
                <w:sz w:val="20"/>
              </w:rPr>
              <w:t>Organize decisions clearly, save progress &amp; link errors to the input requiring correction.</w:t>
            </w:r>
          </w:p>
        </w:tc>
      </w:tr>
      <w:tr>
        <w:trPr>
          <w:cantSplit/>
        </w:trPr>
        <w:tc>
          <w:tcPr>
            <w:tcW w:type="dxa" w:w="201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5" w:lineRule="auto"/>
            </w:pPr>
            <w:r>
              <w:rPr>
                <w:b w:val="0"/>
                <w:color w:val="000000"/>
                <w:sz w:val="20"/>
              </w:rPr>
              <w:t>API and service continuity</w:t>
            </w:r>
          </w:p>
        </w:tc>
        <w:tc>
          <w:tcPr>
            <w:tcW w:type="dxa" w:w="302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5" w:lineRule="auto"/>
            </w:pPr>
            <w:r>
              <w:rPr>
                <w:b w:val="0"/>
                <w:color w:val="000000"/>
                <w:sz w:val="20"/>
              </w:rPr>
              <w:t>Support agency operations &amp; changing service needs.</w:t>
            </w:r>
          </w:p>
        </w:tc>
        <w:tc>
          <w:tcPr>
            <w:tcW w:type="dxa" w:w="518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5" w:lineRule="auto"/>
            </w:pPr>
            <w:r>
              <w:rPr>
                <w:b w:val="0"/>
                <w:color w:val="000000"/>
                <w:sz w:val="20"/>
              </w:rPr>
              <w:t>Align supported UI/API behavior; preserve advertiser access, campaign history &amp; permissions.</w:t>
            </w:r>
          </w:p>
        </w:tc>
      </w:tr>
      <w:tr>
        <w:trPr>
          <w:cantSplit/>
        </w:trPr>
        <w:tc>
          <w:tcPr>
            <w:tcW w:type="dxa" w:w="2016"/>
            <w:vAlign w:val="center"/>
            <w:shd w:fill="F2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5" w:lineRule="auto"/>
            </w:pPr>
            <w:r>
              <w:rPr>
                <w:b w:val="0"/>
                <w:color w:val="000000"/>
                <w:sz w:val="20"/>
              </w:rPr>
              <w:t>Measurement and cost clarity</w:t>
            </w:r>
          </w:p>
        </w:tc>
        <w:tc>
          <w:tcPr>
            <w:tcW w:type="dxa" w:w="3024"/>
            <w:vAlign w:val="center"/>
            <w:shd w:fill="F2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5" w:lineRule="auto"/>
            </w:pPr>
            <w:r>
              <w:rPr>
                <w:b w:val="0"/>
                <w:color w:val="000000"/>
                <w:sz w:val="20"/>
              </w:rPr>
              <w:t>Explain delivery, business results &amp; spend.</w:t>
            </w:r>
          </w:p>
        </w:tc>
        <w:tc>
          <w:tcPr>
            <w:tcW w:type="dxa" w:w="5184"/>
            <w:vAlign w:val="center"/>
            <w:shd w:fill="F2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5" w:lineRule="auto"/>
            </w:pPr>
            <w:r>
              <w:rPr>
                <w:b w:val="0"/>
                <w:color w:val="000000"/>
                <w:sz w:val="20"/>
              </w:rPr>
              <w:t>Separate operational metrics, attribution and causal evidence; disclose applicable cost components.</w:t>
            </w:r>
          </w:p>
        </w:tc>
      </w:tr>
    </w:tbl>
    <w:p>
      <w:pPr>
        <w:spacing w:after="0" w:before="0" w:line="20" w:lineRule="exact"/>
      </w:pPr>
      <w:r>
        <w:rPr>
          <w:sz w:val="2"/>
        </w:rPr>
      </w:r>
    </w:p>
    <w:p>
      <w:pPr>
        <w:pStyle w:val="Heading1"/>
      </w:pPr>
      <w:r>
        <w:t>Strategic Fit</w:t>
      </w:r>
    </w:p>
    <w:p>
      <w:r>
        <w:rPr>
          <w:b w:val="0"/>
        </w:rPr>
        <w:t>These capabilities support the existing AE direction: make advertising easier today while building shared foundations for a connected experience. They also reinforce the Seller Center strategy by pairing simplified activation with controls and measurement that support continued use.</w:t>
      </w:r>
    </w:p>
    <w:p>
      <w:r>
        <w:rPr>
          <w:b w:val="0"/>
        </w:rPr>
        <w:t>Evidence status: this brief summarizes the supplied specification. The source contains no original citations; exact platform rules, numerical claims &amp; technical commitments remain unverified.</w:t>
      </w:r>
    </w:p>
    <w:p>
      <w:pPr>
        <w:spacing w:after="0" w:before="0" w:line="240" w:lineRule="auto"/>
      </w:pPr>
      <w:r>
        <w:rPr>
          <w:sz w:val="2"/>
        </w:rPr>
        <w:br w:type="page"/>
      </w:r>
    </w:p>
    <w:p>
      <w:pPr>
        <w:pStyle w:val="Heading1"/>
      </w:pPr>
      <w:r>
        <w:t>Requirements to Carry Into Discovery</w:t>
      </w:r>
    </w:p>
    <w:p>
      <w:pPr>
        <w:pStyle w:val="Heading2"/>
      </w:pPr>
      <w:r>
        <w:t>Reuse With Explicit Update Behavior</w:t>
      </w:r>
    </w:p>
    <w:p>
      <w:r>
        <w:rPr>
          <w:b w:val="0"/>
        </w:rPr>
        <w:t>Define which brand, creative, catalog &amp; audience objects can be reused across campaigns. Explain whether an edit changes a shared object, creates a new version or affects only one campaign. Advertisers should see which campaigns could be affected before consequential updates.</w:t>
      </w:r>
    </w:p>
    <w:p>
      <w:pPr>
        <w:pStyle w:val="Heading2"/>
      </w:pPr>
      <w:r>
        <w:t>Progressive Disclosure With Advertiser Choice</w:t>
      </w:r>
    </w:p>
    <w:p>
      <w:r>
        <w:rPr>
          <w:b w:val="0"/>
        </w:rPr>
        <w:t>Use guided defaults where appropriate, with clear access to advanced settings. Preserve values when moving between experiences and explain any incompatible selections. The source’s “Control-Light” label describes advanced control; clearer product language would be Guided and Advanced.</w:t>
      </w:r>
    </w:p>
    <w:p>
      <w:pPr>
        <w:pStyle w:val="Heading2"/>
      </w:pPr>
      <w:r>
        <w:t>Validation at the Point of Action</w:t>
      </w:r>
    </w:p>
    <w:p>
      <w:r>
        <w:rPr>
          <w:b w:val="0"/>
        </w:rPr>
        <w:t>Surface errors near the relevant field and show a specific correction. Separate policy or eligibility blockers from performance advice. Identify stale or unavailable checks rather than presenting an unsupported pass. Some checks may require asynchronous review.</w:t>
      </w:r>
    </w:p>
    <w:p>
      <w:pPr>
        <w:pStyle w:val="Heading2"/>
      </w:pPr>
      <w:r>
        <w:t>A Recoverable Campaign Journey</w:t>
      </w:r>
    </w:p>
    <w:p>
      <w:r>
        <w:rPr>
          <w:b w:val="0"/>
        </w:rPr>
        <w:t>The proposed stages are context and objectives, product selection, targeting, budget and scheduling, creative, then review and launch. Treat these as decision domains, not a universal six-screen requirement. Sponsored and Display can share patterns while retaining different dependencies.</w:t>
      </w:r>
    </w:p>
    <w:p>
      <w:pPr>
        <w:pStyle w:val="Heading2"/>
      </w:pPr>
      <w:r>
        <w:t>Consistent Operations Across Interfaces</w:t>
      </w:r>
    </w:p>
    <w:p>
      <w:r>
        <w:rPr>
          <w:b w:val="0"/>
        </w:rPr>
        <w:t>Agree which high-value actions need UI/API consistency, with the same permissions and business rules. Provide change history identifying human, API and automated actions. Hybrid support should preserve advertiser visibility and follow approved access controls.</w:t>
      </w:r>
    </w:p>
    <w:p>
      <w:pPr>
        <w:pStyle w:val="Heading2"/>
      </w:pPr>
      <w:r>
        <w:t>Performance and Cost Interpretation</w:t>
      </w:r>
    </w:p>
    <w:p>
      <w:r>
        <w:rPr>
          <w:b w:val="0"/>
        </w:rPr>
        <w:t>Present delivery and pacing separately from attributed outcomes and causal experiment results. Explain metric definitions, data freshness and measurement limitations. Disclose the cost components that actually apply to the product and commercial model.</w:t>
      </w:r>
    </w:p>
    <w:p>
      <w:pPr>
        <w:pStyle w:val="Heading1"/>
      </w:pPr>
      <w:r>
        <w:t>Candidate Backlog Items</w:t>
      </w:r>
    </w:p>
    <w:tbl>
      <w:tblPr>
        <w:tblW w:type="auto" w:w="0"/>
        <w:jc w:val="center"/>
        <w:tblLayout w:type="fixed"/>
        <w:tblLook w:firstColumn="1" w:firstRow="1" w:lastColumn="0" w:lastRow="0" w:noHBand="0" w:noVBand="1" w:val="04A0"/>
      </w:tblPr>
      <w:tblGrid>
        <w:gridCol w:w="3024"/>
        <w:gridCol w:w="7200"/>
      </w:tblGrid>
      <w:tr>
        <w:trPr>
          <w:cantSplit/>
          <w:tblHeader/>
        </w:trPr>
        <w:tc>
          <w:tcPr>
            <w:tcW w:type="dxa" w:w="3024"/>
            <w:vAlign w:val="center"/>
            <w:shd w:fill="20364D"/>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5" w:lineRule="auto"/>
            </w:pPr>
            <w:r>
              <w:rPr>
                <w:b/>
                <w:color w:val="FFFFFF"/>
                <w:sz w:val="20"/>
              </w:rPr>
              <w:t>Candidate</w:t>
            </w:r>
          </w:p>
        </w:tc>
        <w:tc>
          <w:tcPr>
            <w:tcW w:type="dxa" w:w="7200"/>
            <w:vAlign w:val="center"/>
            <w:shd w:fill="20364D"/>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5" w:lineRule="auto"/>
            </w:pPr>
            <w:r>
              <w:rPr>
                <w:b/>
                <w:color w:val="FFFFFF"/>
                <w:sz w:val="20"/>
              </w:rPr>
              <w:t>Observable Acceptance Condition</w:t>
            </w:r>
          </w:p>
        </w:tc>
      </w:tr>
      <w:tr>
        <w:trPr>
          <w:cantSplit/>
        </w:trPr>
        <w:tc>
          <w:tcPr>
            <w:tcW w:type="dxa" w:w="302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5" w:lineRule="auto"/>
            </w:pPr>
            <w:r>
              <w:rPr>
                <w:b w:val="0"/>
                <w:color w:val="000000"/>
                <w:sz w:val="20"/>
              </w:rPr>
              <w:t>Recover a saved campaign draft</w:t>
            </w:r>
          </w:p>
        </w:tc>
        <w:tc>
          <w:tcPr>
            <w:tcW w:type="dxa" w:w="720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5" w:lineRule="auto"/>
            </w:pPr>
            <w:r>
              <w:rPr>
                <w:b w:val="0"/>
                <w:color w:val="000000"/>
                <w:sz w:val="20"/>
              </w:rPr>
              <w:t>An advertiser resumes supported saved inputs after leaving; failed saves are visible.</w:t>
            </w:r>
          </w:p>
        </w:tc>
      </w:tr>
      <w:tr>
        <w:trPr>
          <w:cantSplit/>
        </w:trPr>
        <w:tc>
          <w:tcPr>
            <w:tcW w:type="dxa" w:w="3024"/>
            <w:vAlign w:val="center"/>
            <w:shd w:fill="F2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5" w:lineRule="auto"/>
            </w:pPr>
            <w:r>
              <w:rPr>
                <w:b w:val="0"/>
                <w:color w:val="000000"/>
                <w:sz w:val="20"/>
              </w:rPr>
              <w:t>Correct a launch blocker</w:t>
            </w:r>
          </w:p>
        </w:tc>
        <w:tc>
          <w:tcPr>
            <w:tcW w:type="dxa" w:w="7200"/>
            <w:vAlign w:val="center"/>
            <w:shd w:fill="F2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5" w:lineRule="auto"/>
            </w:pPr>
            <w:r>
              <w:rPr>
                <w:b w:val="0"/>
                <w:color w:val="000000"/>
                <w:sz w:val="20"/>
              </w:rPr>
              <w:t>The review screen identifies the blocker and links to its input without losing other values.</w:t>
            </w:r>
          </w:p>
        </w:tc>
      </w:tr>
      <w:tr>
        <w:trPr>
          <w:cantSplit/>
        </w:trPr>
        <w:tc>
          <w:tcPr>
            <w:tcW w:type="dxa" w:w="302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5" w:lineRule="auto"/>
            </w:pPr>
            <w:r>
              <w:rPr>
                <w:b w:val="0"/>
                <w:color w:val="000000"/>
                <w:sz w:val="20"/>
              </w:rPr>
              <w:t>Preview a recommendation</w:t>
            </w:r>
          </w:p>
        </w:tc>
        <w:tc>
          <w:tcPr>
            <w:tcW w:type="dxa" w:w="720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5" w:lineRule="auto"/>
            </w:pPr>
            <w:r>
              <w:rPr>
                <w:b w:val="0"/>
                <w:color w:val="000000"/>
                <w:sz w:val="20"/>
              </w:rPr>
              <w:t>The advertiser can inspect proposed changes and applicable constraints before applying.</w:t>
            </w:r>
          </w:p>
        </w:tc>
      </w:tr>
      <w:tr>
        <w:trPr>
          <w:cantSplit/>
        </w:trPr>
        <w:tc>
          <w:tcPr>
            <w:tcW w:type="dxa" w:w="3024"/>
            <w:vAlign w:val="center"/>
            <w:shd w:fill="F2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5" w:lineRule="auto"/>
            </w:pPr>
            <w:r>
              <w:rPr>
                <w:b w:val="0"/>
                <w:color w:val="000000"/>
                <w:sz w:val="20"/>
              </w:rPr>
              <w:t>Inspect campaign history</w:t>
            </w:r>
          </w:p>
        </w:tc>
        <w:tc>
          <w:tcPr>
            <w:tcW w:type="dxa" w:w="7200"/>
            <w:vAlign w:val="center"/>
            <w:shd w:fill="F2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5" w:lineRule="auto"/>
            </w:pPr>
            <w:r>
              <w:rPr>
                <w:b w:val="0"/>
                <w:color w:val="000000"/>
                <w:sz w:val="20"/>
              </w:rPr>
              <w:t>The advertiser can identify who or what changed a setting and when, within permission scope.</w:t>
            </w:r>
          </w:p>
        </w:tc>
      </w:tr>
    </w:tbl>
    <w:p>
      <w:pPr>
        <w:spacing w:after="0" w:before="0" w:line="20" w:lineRule="exact"/>
      </w:pPr>
      <w:r>
        <w:rPr>
          <w:sz w:val="2"/>
        </w:rPr>
      </w:r>
    </w:p>
    <w:p>
      <w:pPr>
        <w:spacing w:after="0" w:before="0" w:line="240" w:lineRule="auto"/>
      </w:pPr>
      <w:r>
        <w:rPr>
          <w:sz w:val="2"/>
        </w:rPr>
        <w:br w:type="page"/>
      </w:r>
    </w:p>
    <w:p>
      <w:pPr>
        <w:pStyle w:val="Heading1"/>
      </w:pPr>
      <w:r>
        <w:t>Connections to the Existing Roadmap</w:t>
      </w:r>
    </w:p>
    <w:p>
      <w:r>
        <w:rPr>
          <w:b w:val="0"/>
        </w:rPr>
        <w:t>Use the specification to sharpen scope within existing initiatives. New capability names do not automatically require new epics, separate funding or different delivery dates.</w:t>
      </w:r>
    </w:p>
    <w:tbl>
      <w:tblPr>
        <w:tblW w:type="auto" w:w="0"/>
        <w:jc w:val="center"/>
        <w:tblLayout w:type="fixed"/>
        <w:tblLook w:firstColumn="1" w:firstRow="1" w:lastColumn="0" w:lastRow="0" w:noHBand="0" w:noVBand="1" w:val="04A0"/>
      </w:tblPr>
      <w:tblGrid>
        <w:gridCol w:w="2016"/>
        <w:gridCol w:w="5256"/>
        <w:gridCol w:w="2952"/>
      </w:tblGrid>
      <w:tr>
        <w:trPr>
          <w:cantSplit/>
          <w:tblHeader/>
        </w:trPr>
        <w:tc>
          <w:tcPr>
            <w:tcW w:type="dxa" w:w="2016"/>
            <w:vAlign w:val="center"/>
            <w:shd w:fill="20364D"/>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5" w:lineRule="auto"/>
            </w:pPr>
            <w:r>
              <w:rPr>
                <w:b/>
                <w:color w:val="FFFFFF"/>
                <w:sz w:val="20"/>
              </w:rPr>
              <w:t>Capability</w:t>
            </w:r>
          </w:p>
        </w:tc>
        <w:tc>
          <w:tcPr>
            <w:tcW w:type="dxa" w:w="5256"/>
            <w:vAlign w:val="center"/>
            <w:shd w:fill="20364D"/>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5" w:lineRule="auto"/>
            </w:pPr>
            <w:r>
              <w:rPr>
                <w:b/>
                <w:color w:val="FFFFFF"/>
                <w:sz w:val="20"/>
              </w:rPr>
              <w:t>Existing Initiatives</w:t>
            </w:r>
          </w:p>
        </w:tc>
        <w:tc>
          <w:tcPr>
            <w:tcW w:type="dxa" w:w="2952"/>
            <w:vAlign w:val="center"/>
            <w:shd w:fill="20364D"/>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5" w:lineRule="auto"/>
            </w:pPr>
            <w:r>
              <w:rPr>
                <w:b/>
                <w:color w:val="FFFFFF"/>
                <w:sz w:val="20"/>
              </w:rPr>
              <w:t>Outcome to Measure</w:t>
            </w:r>
          </w:p>
        </w:tc>
      </w:tr>
      <w:tr>
        <w:trPr>
          <w:cantSplit/>
        </w:trPr>
        <w:tc>
          <w:tcPr>
            <w:tcW w:type="dxa" w:w="201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5" w:lineRule="auto"/>
            </w:pPr>
            <w:r>
              <w:rPr>
                <w:b w:val="0"/>
                <w:color w:val="000000"/>
                <w:sz w:val="20"/>
              </w:rPr>
              <w:t>Reusable entities</w:t>
            </w:r>
          </w:p>
        </w:tc>
        <w:tc>
          <w:tcPr>
            <w:tcW w:type="dxa" w:w="525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5" w:lineRule="auto"/>
            </w:pPr>
            <w:r>
              <w:rPr>
                <w:b w:val="0"/>
                <w:color w:val="000000"/>
                <w:sz w:val="20"/>
              </w:rPr>
              <w:t>Shared Apps Foundation + Framework; Unified Audience Library; creative and catalog partners.</w:t>
            </w:r>
          </w:p>
        </w:tc>
        <w:tc>
          <w:tcPr>
            <w:tcW w:type="dxa" w:w="295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5" w:lineRule="auto"/>
            </w:pPr>
            <w:r>
              <w:rPr>
                <w:b w:val="0"/>
                <w:color w:val="000000"/>
                <w:sz w:val="20"/>
              </w:rPr>
              <w:t>Repeat data entry, reuse success &amp; correction effort.</w:t>
            </w:r>
          </w:p>
        </w:tc>
      </w:tr>
      <w:tr>
        <w:trPr>
          <w:cantSplit/>
        </w:trPr>
        <w:tc>
          <w:tcPr>
            <w:tcW w:type="dxa" w:w="2016"/>
            <w:vAlign w:val="center"/>
            <w:shd w:fill="F2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5" w:lineRule="auto"/>
            </w:pPr>
            <w:r>
              <w:rPr>
                <w:b w:val="0"/>
                <w:color w:val="000000"/>
                <w:sz w:val="20"/>
              </w:rPr>
              <w:t>Guidance and control</w:t>
            </w:r>
          </w:p>
        </w:tc>
        <w:tc>
          <w:tcPr>
            <w:tcW w:type="dxa" w:w="5256"/>
            <w:vAlign w:val="center"/>
            <w:shd w:fill="F2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5" w:lineRule="auto"/>
            </w:pPr>
            <w:r>
              <w:rPr>
                <w:b w:val="0"/>
                <w:color w:val="000000"/>
                <w:sz w:val="20"/>
              </w:rPr>
              <w:t>Campaign Automation + Guided Set-Up; Recommendation Experience Framework; Seller Center Quick-Start + One-Click Apply.</w:t>
            </w:r>
          </w:p>
        </w:tc>
        <w:tc>
          <w:tcPr>
            <w:tcW w:type="dxa" w:w="2952"/>
            <w:vAlign w:val="center"/>
            <w:shd w:fill="F2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5" w:lineRule="auto"/>
            </w:pPr>
            <w:r>
              <w:rPr>
                <w:b w:val="0"/>
                <w:color w:val="000000"/>
                <w:sz w:val="20"/>
              </w:rPr>
              <w:t>Successful completion, informed adoption &amp; avoidable reversals.</w:t>
            </w:r>
          </w:p>
        </w:tc>
      </w:tr>
      <w:tr>
        <w:trPr>
          <w:cantSplit/>
        </w:trPr>
        <w:tc>
          <w:tcPr>
            <w:tcW w:type="dxa" w:w="201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5" w:lineRule="auto"/>
            </w:pPr>
            <w:r>
              <w:rPr>
                <w:b w:val="0"/>
                <w:color w:val="000000"/>
                <w:sz w:val="20"/>
              </w:rPr>
              <w:t>Preflight validation</w:t>
            </w:r>
          </w:p>
        </w:tc>
        <w:tc>
          <w:tcPr>
            <w:tcW w:type="dxa" w:w="525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5" w:lineRule="auto"/>
            </w:pPr>
            <w:r>
              <w:rPr>
                <w:b w:val="0"/>
                <w:color w:val="000000"/>
                <w:sz w:val="20"/>
              </w:rPr>
              <w:t>Sponsored + Display campaign modernization; Display Capability Realization where existing work fits.</w:t>
            </w:r>
          </w:p>
        </w:tc>
        <w:tc>
          <w:tcPr>
            <w:tcW w:type="dxa" w:w="295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5" w:lineRule="auto"/>
            </w:pPr>
            <w:r>
              <w:rPr>
                <w:b w:val="0"/>
                <w:color w:val="000000"/>
                <w:sz w:val="20"/>
              </w:rPr>
              <w:t>Preventable submission failures, rejection cycles &amp; resolution time.</w:t>
            </w:r>
          </w:p>
        </w:tc>
      </w:tr>
      <w:tr>
        <w:trPr>
          <w:cantSplit/>
        </w:trPr>
        <w:tc>
          <w:tcPr>
            <w:tcW w:type="dxa" w:w="2016"/>
            <w:vAlign w:val="center"/>
            <w:shd w:fill="F2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5" w:lineRule="auto"/>
            </w:pPr>
            <w:r>
              <w:rPr>
                <w:b w:val="0"/>
                <w:color w:val="000000"/>
                <w:sz w:val="20"/>
              </w:rPr>
              <w:t>Shared workflow patterns</w:t>
            </w:r>
          </w:p>
        </w:tc>
        <w:tc>
          <w:tcPr>
            <w:tcW w:type="dxa" w:w="5256"/>
            <w:vAlign w:val="center"/>
            <w:shd w:fill="F2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5" w:lineRule="auto"/>
            </w:pPr>
            <w:r>
              <w:rPr>
                <w:b w:val="0"/>
                <w:color w:val="000000"/>
                <w:sz w:val="20"/>
              </w:rPr>
              <w:t>Campaign modernization; standardized tables, filters + views; terminology simplification.</w:t>
            </w:r>
          </w:p>
        </w:tc>
        <w:tc>
          <w:tcPr>
            <w:tcW w:type="dxa" w:w="2952"/>
            <w:vAlign w:val="center"/>
            <w:shd w:fill="F2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5" w:lineRule="auto"/>
            </w:pPr>
            <w:r>
              <w:rPr>
                <w:b w:val="0"/>
                <w:color w:val="000000"/>
                <w:sz w:val="20"/>
              </w:rPr>
              <w:t>Journey completion, rework &amp; consistency across products.</w:t>
            </w:r>
          </w:p>
        </w:tc>
      </w:tr>
      <w:tr>
        <w:trPr>
          <w:cantSplit/>
        </w:trPr>
        <w:tc>
          <w:tcPr>
            <w:tcW w:type="dxa" w:w="201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5" w:lineRule="auto"/>
            </w:pPr>
            <w:r>
              <w:rPr>
                <w:b w:val="0"/>
                <w:color w:val="000000"/>
                <w:sz w:val="20"/>
              </w:rPr>
              <w:t>Operational continuity</w:t>
            </w:r>
          </w:p>
        </w:tc>
        <w:tc>
          <w:tcPr>
            <w:tcW w:type="dxa" w:w="525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5" w:lineRule="auto"/>
            </w:pPr>
            <w:r>
              <w:rPr>
                <w:b w:val="0"/>
                <w:color w:val="000000"/>
                <w:sz w:val="20"/>
              </w:rPr>
              <w:t>Shared foundations; onboarding and access partners; Universal Notifications Center.</w:t>
            </w:r>
          </w:p>
        </w:tc>
        <w:tc>
          <w:tcPr>
            <w:tcW w:type="dxa" w:w="295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5" w:lineRule="auto"/>
            </w:pPr>
            <w:r>
              <w:rPr>
                <w:b w:val="0"/>
                <w:color w:val="000000"/>
                <w:sz w:val="20"/>
              </w:rPr>
              <w:t>Access-related friction, actionable notifications &amp; task continuity.</w:t>
            </w:r>
          </w:p>
        </w:tc>
      </w:tr>
      <w:tr>
        <w:trPr>
          <w:cantSplit/>
        </w:trPr>
        <w:tc>
          <w:tcPr>
            <w:tcW w:type="dxa" w:w="2016"/>
            <w:vAlign w:val="center"/>
            <w:shd w:fill="F2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5" w:lineRule="auto"/>
            </w:pPr>
            <w:r>
              <w:rPr>
                <w:b w:val="0"/>
                <w:color w:val="000000"/>
                <w:sz w:val="20"/>
              </w:rPr>
              <w:t>Measurement clarity</w:t>
            </w:r>
          </w:p>
        </w:tc>
        <w:tc>
          <w:tcPr>
            <w:tcW w:type="dxa" w:w="5256"/>
            <w:vAlign w:val="center"/>
            <w:shd w:fill="F2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5" w:lineRule="auto"/>
            </w:pPr>
            <w:r>
              <w:rPr>
                <w:b w:val="0"/>
                <w:color w:val="000000"/>
                <w:sz w:val="20"/>
              </w:rPr>
              <w:t>Unified Measurement + Reporting Hub; Experimentation + A/B Testing; Instrumentation + Advertiser Intelligence.</w:t>
            </w:r>
          </w:p>
        </w:tc>
        <w:tc>
          <w:tcPr>
            <w:tcW w:type="dxa" w:w="2952"/>
            <w:vAlign w:val="center"/>
            <w:shd w:fill="F2F5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45" w:lineRule="auto"/>
            </w:pPr>
            <w:r>
              <w:rPr>
                <w:b w:val="0"/>
                <w:color w:val="000000"/>
                <w:sz w:val="20"/>
              </w:rPr>
              <w:t>Reporting task success, comprehension &amp; correctly interpreted tests.</w:t>
            </w:r>
          </w:p>
        </w:tc>
      </w:tr>
    </w:tbl>
    <w:p>
      <w:pPr>
        <w:spacing w:after="0" w:before="0" w:line="20" w:lineRule="exact"/>
      </w:pPr>
      <w:r>
        <w:rPr>
          <w:sz w:val="2"/>
        </w:rPr>
      </w:r>
    </w:p>
    <w:p>
      <w:pPr>
        <w:pStyle w:val="Heading1"/>
      </w:pPr>
      <w:r>
        <w:t>Suggested Sequence</w:t>
      </w:r>
    </w:p>
    <w:p>
      <w:r>
        <w:rPr>
          <w:b w:val="0"/>
        </w:rPr>
        <w:t>First, instrument the critical journey and ship bounded improvements such as draft recovery, clear validation and actionable errors. Define shared campaign patterns alongside Sponsored and Display modernization.</w:t>
      </w:r>
    </w:p>
    <w:p>
      <w:r>
        <w:rPr>
          <w:b w:val="0"/>
        </w:rPr>
        <w:t>Next, connect reusable objects, permissions, change history and reporting interpretation through shared foundations. Advance forecasting and automation as reliable signals, domain capabilities and controls become available.</w:t>
      </w:r>
    </w:p>
    <w:p>
      <w:pPr>
        <w:pStyle w:val="Heading1"/>
      </w:pPr>
      <w:r>
        <w:t>Ownership and Dependencies</w:t>
      </w:r>
    </w:p>
    <w:p>
      <w:r>
        <w:rPr>
          <w:b w:val="0"/>
        </w:rPr>
        <w:t>AE should lead the advertiser-facing workflow, interaction patterns, comprehension requirements &amp; journey measures. Vertical product and engineering teams should own domain rules, models, eligibility and execution services. Identity, creative, catalog, finance and measurement owners need to validate the relevant contracts and controls.</w:t>
      </w:r>
    </w:p>
    <w:p>
      <w:r>
        <w:rPr>
          <w:b w:val="0"/>
        </w:rPr>
        <w:t>Working backlog format: advertiser problem; local evidence; owner; affected journey; dependency; acceptance condition; outcome measure. External research establishes a hypothesis; Walmart-specific evidence determines priority.</w:t>
      </w:r>
    </w:p>
    <w:p>
      <w:pPr>
        <w:spacing w:after="0" w:before="0" w:line="240" w:lineRule="auto"/>
      </w:pPr>
      <w:r>
        <w:rPr>
          <w:sz w:val="2"/>
        </w:rPr>
        <w:br w:type="page"/>
      </w:r>
    </w:p>
    <w:p>
      <w:pPr>
        <w:pStyle w:val="Heading1"/>
      </w:pPr>
      <w:r>
        <w:t>Product Readiness Checks</w:t>
      </w:r>
    </w:p>
    <w:p>
      <w:r>
        <w:rPr>
          <w:b w:val="0"/>
        </w:rPr>
        <w:t>Apply these checks to the agreed release scope. They are proposed review questions, not a replacement for existing engineering, policy or accessibility standards.</w:t>
      </w:r>
    </w:p>
    <w:p>
      <w:pPr>
        <w:pStyle w:val="Heading2"/>
      </w:pPr>
      <w:r>
        <w:t>Workflow integrity</w:t>
      </w:r>
    </w:p>
    <w:p>
      <w:r>
        <w:rPr>
          <w:b w:val="0"/>
        </w:rPr>
        <w:t>Can advertisers save, resume, navigate back and correct errors without losing valid inputs? Are concurrent edits and failed saves handled visibly?</w:t>
      </w:r>
    </w:p>
    <w:p>
      <w:pPr>
        <w:pStyle w:val="Heading2"/>
      </w:pPr>
      <w:r>
        <w:t>Rules and validation</w:t>
      </w:r>
    </w:p>
    <w:p>
      <w:r>
        <w:rPr>
          <w:b w:val="0"/>
        </w:rPr>
        <w:t>Are eligibility and policy rules confirmed with their owners? Are blockers distinct from warnings? Can advertisers understand pending or failed checks?</w:t>
      </w:r>
    </w:p>
    <w:p>
      <w:pPr>
        <w:pStyle w:val="Heading2"/>
      </w:pPr>
      <w:r>
        <w:t>Control and accountability</w:t>
      </w:r>
    </w:p>
    <w:p>
      <w:r>
        <w:rPr>
          <w:b w:val="0"/>
        </w:rPr>
        <w:t>Can advertisers review consequential automated actions, apply supported constraints and inspect change history? Do permissions remain scoped during service transitions?</w:t>
      </w:r>
    </w:p>
    <w:p>
      <w:pPr>
        <w:pStyle w:val="Heading2"/>
      </w:pPr>
      <w:r>
        <w:t>Reusable objects</w:t>
      </w:r>
    </w:p>
    <w:p>
      <w:r>
        <w:rPr>
          <w:b w:val="0"/>
        </w:rPr>
        <w:t>Are ownership, versions and effects on active campaigns clear? Are permission boundaries enforced when objects are reused?</w:t>
      </w:r>
    </w:p>
    <w:p>
      <w:pPr>
        <w:pStyle w:val="Heading2"/>
      </w:pPr>
      <w:r>
        <w:t>Measurement and costs</w:t>
      </w:r>
    </w:p>
    <w:p>
      <w:r>
        <w:rPr>
          <w:b w:val="0"/>
        </w:rPr>
        <w:t>Are definitions, freshness, attribution limitations and applicable fees clear? Are inconclusive experiments labeled? Are transaction categories deduplicated?</w:t>
      </w:r>
    </w:p>
    <w:p>
      <w:pPr>
        <w:pStyle w:val="Heading2"/>
      </w:pPr>
      <w:r>
        <w:t>Operational resilience</w:t>
      </w:r>
    </w:p>
    <w:p>
      <w:r>
        <w:rPr>
          <w:b w:val="0"/>
        </w:rPr>
        <w:t>Are stale feeds, API throttling, service outages, budget anomalies and inventory changes covered by approved fallback behavior and observable alerts?</w:t>
      </w:r>
    </w:p>
    <w:p>
      <w:pPr>
        <w:pStyle w:val="Heading1"/>
      </w:pPr>
      <w:r>
        <w:t>Resolve Before Treating the Source as a Specification</w:t>
      </w:r>
    </w:p>
    <w:p>
      <w:r>
        <w:rPr>
          <w:b w:val="0"/>
        </w:rPr>
        <w:t>Conflicting rules: the source prescribes both 60/30/10 and 80/20 budget defaults. It also describes low Listing Quality Score as both a suppression condition and an overridable warning. Resolve these with domain owners; do not encode both.</w:t>
      </w:r>
    </w:p>
    <w:p>
      <w:r>
        <w:rPr>
          <w:b w:val="0"/>
        </w:rPr>
        <w:t>Unvalidated precision: bid and budget floors, asset specifications, ranking weights, spend thresholds, API limits and sub-second SLAs need current authoritative confirmation. Establish performance targets from customer need, baselines and engineering feasibility.</w:t>
      </w:r>
    </w:p>
    <w:p>
      <w:r>
        <w:rPr>
          <w:b w:val="0"/>
        </w:rPr>
        <w:t>Identity scope: advertiser account hierarchies and shopper targeting identities serve different purposes. B2B buying-group logic should not be imported into consumer retail advertising without a validated use case.</w:t>
      </w:r>
    </w:p>
    <w:p>
      <w:r>
        <w:rPr>
          <w:b w:val="0"/>
        </w:rPr>
        <w:t>Measurement scope: matched groups alone do not establish causal impact. Experiment eligibility depends on design and statistical power, not solely on a fixed spend threshold. Keep attributed sales and incremental lift distinct.</w:t>
      </w:r>
    </w:p>
    <w:p>
      <w:r>
        <w:rPr>
          <w:b w:val="0"/>
        </w:rPr>
        <w:t>Automated changes: obtain explicit product decisions for reallocating spend, expanding budgets, changing channels or rerouting delivery. Failure handling should preserve approved advertiser intent and constraints.</w:t>
      </w:r>
    </w:p>
    <w:p>
      <w:r>
        <w:rPr>
          <w:b w:val="0"/>
        </w:rPr>
        <w:t>Source: Pasted text(4).txt, supplied October 1, 2026. Requirements and roadmap connections above are editorial recommendations based on the supplied material; no original source links were provided.</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October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ADVERTISER EXPERIENCE  |  STRATEGY BRIEF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Self Serve Commerce Media Platform Brief</dc:title>
  <dc:subject>UX capabilities, roadmap connections and product readiness</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