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Adapter :-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Adapter pattern works as a bridge between two incompatible interfaces.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Usage:-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It helps to make existing classes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work with others without modifying their 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source code.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Decorator:-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allows a user to add new functionality to an existing object without altering its structure.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Usage:-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Ex: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rom a base text, several formats can be applied cumulatively and in any order (Bold, Italic, Underline, Strike-through, Color…)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Facade:-  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hides the complexities of the system and provides an interface to the client using which the client can access the system.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segment of the client community needs a simplified interface to the overall functionality of a complex subsystem.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Factory:-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says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just define an interface or abstract class for creating an object but let the subclasses decide which class to instantiate.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Usage:-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for creating objects to encapsulate the instantiation logic. Client doesn’t know the actual instantiation logic of entity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Iterator:-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iterator pattern is a design pattern in which an iterator is used to traverse a container and access the container's elements.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to traverse a collection object elements one by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Memento:- 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Memento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 behavioral design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pattern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that lets you save and restore the previous state of an object without revealing the details of its implementation.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Memento Design Pattern will be used in situations where some actions are undoable, therefore requiring to rollback to a previous state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Observer:-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Observer pattern is used when there is one-to-many relationship between objects such as if one object is modified, its depenedent objects are to be notified automatically.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It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used when an action needs to be performed when an event/change occurs.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Prototype:-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Prototype pattern  says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cloning of an existing object instead of creating new one and can also be customized as per the requirement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used when the Object creation is a costly affair and requires a lot of time and resources and you have a similar object already existing.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Proxy:-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It creates proxy for original object and provides the control for accessing the original object.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It acts as an authorization layer to verify that whether the actual user has access the appropriate content or not.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Singleton:-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Singleton pattern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ensures that a class has only one instance and provides a global point of access to that instance.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Usage:-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EX: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Java the Singleton pattern will ensure that there is only one instance of a class is created in the Java Virtual Machine. It is used to provide global point of access to the object.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